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E" w:rsidRPr="00796797" w:rsidRDefault="00E80408" w:rsidP="00CB4169">
      <w:pPr>
        <w:adjustRightInd w:val="0"/>
        <w:snapToGrid w:val="0"/>
        <w:spacing w:beforeLines="100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5D605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青岛</w:t>
      </w:r>
      <w:r w:rsidRPr="007274F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25719A" w:rsidP="00CB416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2935C4" w:rsidP="002935C4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82550</wp:posOffset>
            </wp:positionV>
            <wp:extent cx="2457450" cy="2365375"/>
            <wp:effectExtent l="19050" t="0" r="0" b="0"/>
            <wp:wrapTight wrapText="bothSides">
              <wp:wrapPolygon edited="0">
                <wp:start x="-167" y="0"/>
                <wp:lineTo x="-167" y="21397"/>
                <wp:lineTo x="21600" y="21397"/>
                <wp:lineTo x="21600" y="0"/>
                <wp:lineTo x="-167" y="0"/>
              </wp:wrapPolygon>
            </wp:wrapTight>
            <wp:docPr id="2" name="图片 2" descr="C:\Users\KAO\Desktop\巡回会议地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\Desktop\巡回会议地图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世界经济低迷的形势下，企业做好产品的合规工作，才能赢得客户的青睐，在激烈的市场争夺中胜出！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起，欧盟将停止受理新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申请，企业向欧盟出口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未经预注册的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正式注册；2018年6月1日起，所有的预注册/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企业如何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应对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REACH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的最后一个截止期？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 （REACH-Like Regulation</w:t>
      </w:r>
      <w:r>
        <w:rPr>
          <w:rFonts w:ascii="微软雅黑" w:eastAsia="微软雅黑" w:hAnsi="微软雅黑" w:cs="Arial"/>
          <w:color w:val="000000" w:themeColor="text1"/>
          <w:sz w:val="18"/>
          <w:szCs w:val="18"/>
        </w:rPr>
        <w:t>）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,又将对企业出口造成何种影响？</w:t>
      </w:r>
    </w:p>
    <w:p w:rsidR="00D84A0A" w:rsidRDefault="00D84A0A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由杭州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技术有限公司主办的“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研讨会”将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5D6058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5D6058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13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</w:t>
      </w:r>
      <w:r w:rsidR="005D6058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青岛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亚太各国的类似法规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问题和重点关注内容展开讨论，为企业合规提供合理性意见，为贸易保驾护航。</w:t>
      </w:r>
    </w:p>
    <w:p w:rsidR="005E4FE5" w:rsidRPr="00796797" w:rsidRDefault="0043465E" w:rsidP="00CB416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18年有单子却必须花费大价钱进行正式注册才能出口的尴尬局面。</w:t>
      </w:r>
    </w:p>
    <w:p w:rsidR="00995931" w:rsidRPr="00796797" w:rsidRDefault="008B409D" w:rsidP="00CB416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REACH注册截止日2018年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如何利用合规来实现业务拓展的目的？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CB416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CB416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SDS被国外客户拒绝？货物由于标签不正确被拒载？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ab/>
      </w:r>
    </w:p>
    <w:p w:rsidR="00796797" w:rsidRPr="00032F29" w:rsidRDefault="00796797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7274F8" w:rsidRPr="007274F8" w:rsidRDefault="00696DCF" w:rsidP="00CB416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3656093</wp:posOffset>
            </wp:positionH>
            <wp:positionV relativeFrom="paragraph">
              <wp:posOffset>113030</wp:posOffset>
            </wp:positionV>
            <wp:extent cx="2468530" cy="2446020"/>
            <wp:effectExtent l="0" t="0" r="797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26" cy="24451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CB4169">
      <w:pPr>
        <w:adjustRightInd w:val="0"/>
        <w:snapToGrid w:val="0"/>
        <w:spacing w:beforeLines="50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CB416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5D6058" w:rsidRPr="005D6058">
        <w:rPr>
          <w:rFonts w:ascii="微软雅黑" w:eastAsia="微软雅黑" w:hAnsi="微软雅黑" w:cs="Arial" w:hint="eastAsia"/>
          <w:color w:val="404040"/>
          <w:sz w:val="18"/>
          <w:szCs w:val="18"/>
        </w:rPr>
        <w:t>青岛中心假日酒店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-</w:t>
      </w:r>
      <w:r w:rsidR="005D6058" w:rsidRPr="005D6058">
        <w:rPr>
          <w:rFonts w:ascii="微软雅黑" w:eastAsia="微软雅黑" w:hAnsi="微软雅黑" w:cs="Arial" w:hint="eastAsia"/>
          <w:color w:val="404040"/>
          <w:sz w:val="18"/>
          <w:szCs w:val="18"/>
        </w:rPr>
        <w:t>四季宴会厅C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="005D6058" w:rsidRPr="005D6058">
        <w:rPr>
          <w:rFonts w:ascii="微软雅黑" w:eastAsia="微软雅黑" w:hAnsi="微软雅黑" w:cs="Arial" w:hint="eastAsia"/>
          <w:color w:val="404040"/>
          <w:sz w:val="18"/>
          <w:szCs w:val="18"/>
        </w:rPr>
        <w:t>中国山东省青岛市徐州路1号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6C3744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6C3744">
        <w:rPr>
          <w:rFonts w:ascii="微软雅黑" w:eastAsia="微软雅黑" w:hAnsi="微软雅黑" w:cs="Arial" w:hint="eastAsia"/>
          <w:color w:val="404040"/>
          <w:sz w:val="18"/>
          <w:szCs w:val="18"/>
        </w:rPr>
        <w:t>13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r w:rsidR="005D6058">
        <w:rPr>
          <w:rFonts w:ascii="微软雅黑" w:eastAsia="微软雅黑" w:hAnsi="微软雅黑" w:cs="Arial" w:hint="eastAsia"/>
          <w:color w:val="404040"/>
          <w:sz w:val="18"/>
          <w:szCs w:val="18"/>
        </w:rPr>
        <w:t>毛烨华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5D6058">
        <w:rPr>
          <w:rFonts w:ascii="微软雅黑" w:eastAsia="微软雅黑" w:hAnsi="微软雅黑" w:cs="Arial" w:hint="eastAsia"/>
          <w:color w:val="404040"/>
          <w:sz w:val="18"/>
          <w:szCs w:val="18"/>
        </w:rPr>
        <w:t>45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5D6058">
        <w:rPr>
          <w:rFonts w:ascii="微软雅黑" w:eastAsia="微软雅黑" w:hAnsi="微软雅黑" w:cs="Arial" w:hint="eastAsia"/>
          <w:sz w:val="18"/>
          <w:szCs w:val="18"/>
        </w:rPr>
        <w:t>myh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CB4169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5" w:name="OLE_LINK8"/>
            <w:bookmarkStart w:id="6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801DB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要点分析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舒梦婷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吕琴香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D015E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注册</w:t>
            </w:r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和亚太各国法规合</w:t>
            </w:r>
            <w:proofErr w:type="gramStart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应对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叶剑</w:t>
            </w:r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全球GHS法规实施进展&amp;合规关键时间点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毛烨华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茶歇交流/结束</w:t>
            </w:r>
          </w:p>
        </w:tc>
      </w:tr>
      <w:bookmarkEnd w:id="5"/>
      <w:bookmarkEnd w:id="6"/>
    </w:tbl>
    <w:p w:rsidR="001C3F80" w:rsidRDefault="001C3F80">
      <w:pPr>
        <w:rPr>
          <w:b/>
        </w:rPr>
      </w:pPr>
    </w:p>
    <w:p w:rsidR="002C4FA3" w:rsidRPr="007274F8" w:rsidRDefault="002C4FA3" w:rsidP="00CB4169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5D6058">
        <w:rPr>
          <w:rFonts w:ascii="微软雅黑" w:eastAsia="微软雅黑" w:hAnsi="微软雅黑" w:cs="Arial" w:hint="eastAsia"/>
          <w:sz w:val="20"/>
          <w:szCs w:val="20"/>
        </w:rPr>
        <w:t>myh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6A060F" w:rsidRPr="00423D14">
        <w:rPr>
          <w:rFonts w:ascii="微软雅黑" w:eastAsia="微软雅黑" w:hAnsi="微软雅黑"/>
          <w:sz w:val="18"/>
          <w:szCs w:val="18"/>
        </w:rPr>
        <w:t>0086 571 87206533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BE4EFE" w:rsidP="00CB4169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CB4169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7" w:name="OLE_LINK3"/>
                  <w:bookmarkStart w:id="8" w:name="OLE_LINK4"/>
                  <w:bookmarkStart w:id="9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7"/>
                <w:bookmarkEnd w:id="8"/>
                <w:bookmarkEnd w:id="9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BE4EFE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CB4169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术咨询和法规应对服务，帮助企业实现产品合规，并快速获得市场准入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27" w:rsidRDefault="00D84627" w:rsidP="005709CD">
      <w:r>
        <w:separator/>
      </w:r>
    </w:p>
  </w:endnote>
  <w:endnote w:type="continuationSeparator" w:id="0">
    <w:p w:rsidR="00D84627" w:rsidRDefault="00D84627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5D6058">
      <w:rPr>
        <w:rFonts w:ascii="微软雅黑" w:eastAsia="微软雅黑" w:hAnsi="微软雅黑" w:hint="eastAsia"/>
        <w:color w:val="FFFFFF" w:themeColor="background1"/>
        <w:sz w:val="20"/>
        <w:szCs w:val="20"/>
      </w:rPr>
      <w:t>毛烨华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5</w:t>
    </w:r>
    <w:r w:rsidR="005D6058">
      <w:rPr>
        <w:rFonts w:ascii="微软雅黑" w:eastAsia="微软雅黑" w:hAnsi="微软雅黑" w:hint="eastAsia"/>
        <w:color w:val="FFFFFF" w:themeColor="background1"/>
        <w:sz w:val="20"/>
        <w:szCs w:val="20"/>
      </w:rPr>
      <w:t>45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5D605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myh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27" w:rsidRDefault="00D84627" w:rsidP="005709CD">
      <w:r>
        <w:separator/>
      </w:r>
    </w:p>
  </w:footnote>
  <w:footnote w:type="continuationSeparator" w:id="0">
    <w:p w:rsidR="00D84627" w:rsidRDefault="00D84627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CF" w:rsidRDefault="00BE4EFE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next-textbox:#_x0000_s2051;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</w:t>
                </w:r>
                <w:r w:rsidR="005D6058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青岛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BE4EFE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7906"/>
    <w:rsid w:val="00115521"/>
    <w:rsid w:val="001305D9"/>
    <w:rsid w:val="00136029"/>
    <w:rsid w:val="001421D7"/>
    <w:rsid w:val="00152381"/>
    <w:rsid w:val="001551FB"/>
    <w:rsid w:val="00157F38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719A"/>
    <w:rsid w:val="00292D81"/>
    <w:rsid w:val="002935C4"/>
    <w:rsid w:val="002C4FA3"/>
    <w:rsid w:val="002F676F"/>
    <w:rsid w:val="00322A3A"/>
    <w:rsid w:val="003566F4"/>
    <w:rsid w:val="00364C27"/>
    <w:rsid w:val="00375180"/>
    <w:rsid w:val="00384809"/>
    <w:rsid w:val="003B4DFB"/>
    <w:rsid w:val="003D15DF"/>
    <w:rsid w:val="003D4E34"/>
    <w:rsid w:val="0043356D"/>
    <w:rsid w:val="0043465E"/>
    <w:rsid w:val="00437F71"/>
    <w:rsid w:val="00444A5F"/>
    <w:rsid w:val="00462DBB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21CB1"/>
    <w:rsid w:val="00522A8B"/>
    <w:rsid w:val="00527259"/>
    <w:rsid w:val="005334E3"/>
    <w:rsid w:val="005709CD"/>
    <w:rsid w:val="00570A29"/>
    <w:rsid w:val="0058661A"/>
    <w:rsid w:val="005B1963"/>
    <w:rsid w:val="005C763A"/>
    <w:rsid w:val="005D6058"/>
    <w:rsid w:val="005E4FE5"/>
    <w:rsid w:val="006208B0"/>
    <w:rsid w:val="0063344D"/>
    <w:rsid w:val="00637B9C"/>
    <w:rsid w:val="0065470A"/>
    <w:rsid w:val="00655321"/>
    <w:rsid w:val="00656F2A"/>
    <w:rsid w:val="0069348D"/>
    <w:rsid w:val="00696DCF"/>
    <w:rsid w:val="00697995"/>
    <w:rsid w:val="006A060F"/>
    <w:rsid w:val="006B3289"/>
    <w:rsid w:val="006C3744"/>
    <w:rsid w:val="0070412E"/>
    <w:rsid w:val="0071055E"/>
    <w:rsid w:val="007232E6"/>
    <w:rsid w:val="007274F8"/>
    <w:rsid w:val="00734213"/>
    <w:rsid w:val="007573EC"/>
    <w:rsid w:val="007621B0"/>
    <w:rsid w:val="00796797"/>
    <w:rsid w:val="007B1744"/>
    <w:rsid w:val="007C1817"/>
    <w:rsid w:val="007C6F94"/>
    <w:rsid w:val="007E27BF"/>
    <w:rsid w:val="007F1B03"/>
    <w:rsid w:val="00801DBB"/>
    <w:rsid w:val="00803B73"/>
    <w:rsid w:val="008B409D"/>
    <w:rsid w:val="008B6752"/>
    <w:rsid w:val="008C1DEE"/>
    <w:rsid w:val="008D46AF"/>
    <w:rsid w:val="008F0BD5"/>
    <w:rsid w:val="00903FEC"/>
    <w:rsid w:val="0091402B"/>
    <w:rsid w:val="009632F0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E4BAA"/>
    <w:rsid w:val="00B246C0"/>
    <w:rsid w:val="00B649C9"/>
    <w:rsid w:val="00B74CB1"/>
    <w:rsid w:val="00B866E8"/>
    <w:rsid w:val="00BA727C"/>
    <w:rsid w:val="00BE4EFE"/>
    <w:rsid w:val="00C026CF"/>
    <w:rsid w:val="00C37042"/>
    <w:rsid w:val="00C5081E"/>
    <w:rsid w:val="00C511C5"/>
    <w:rsid w:val="00C546AF"/>
    <w:rsid w:val="00C54E85"/>
    <w:rsid w:val="00C65349"/>
    <w:rsid w:val="00C81A26"/>
    <w:rsid w:val="00CB0BFD"/>
    <w:rsid w:val="00CB4169"/>
    <w:rsid w:val="00CB6B1B"/>
    <w:rsid w:val="00CD4525"/>
    <w:rsid w:val="00CF0188"/>
    <w:rsid w:val="00D015E8"/>
    <w:rsid w:val="00D16BA3"/>
    <w:rsid w:val="00D43E07"/>
    <w:rsid w:val="00D57C0B"/>
    <w:rsid w:val="00D84627"/>
    <w:rsid w:val="00D84A0A"/>
    <w:rsid w:val="00D85357"/>
    <w:rsid w:val="00D87680"/>
    <w:rsid w:val="00DC1C5A"/>
    <w:rsid w:val="00E36D37"/>
    <w:rsid w:val="00E5400A"/>
    <w:rsid w:val="00E645B1"/>
    <w:rsid w:val="00E7664D"/>
    <w:rsid w:val="00E80408"/>
    <w:rsid w:val="00E913E1"/>
    <w:rsid w:val="00EE5355"/>
    <w:rsid w:val="00F37AFB"/>
    <w:rsid w:val="00F76262"/>
    <w:rsid w:val="00F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TIF</cp:lastModifiedBy>
  <cp:revision>7</cp:revision>
  <cp:lastPrinted>2017-02-24T07:48:00Z</cp:lastPrinted>
  <dcterms:created xsi:type="dcterms:W3CDTF">2017-03-07T07:24:00Z</dcterms:created>
  <dcterms:modified xsi:type="dcterms:W3CDTF">2017-03-28T01:57:00Z</dcterms:modified>
</cp:coreProperties>
</file>