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9B" w:rsidRPr="0024555C" w:rsidRDefault="007C429B" w:rsidP="00596D1F">
      <w:pPr>
        <w:pStyle w:val="a5"/>
        <w:shd w:val="clear" w:color="auto" w:fill="FFFFFF"/>
        <w:spacing w:before="0" w:beforeAutospacing="0" w:after="0" w:afterAutospacing="0" w:line="300" w:lineRule="auto"/>
        <w:rPr>
          <w:rFonts w:ascii="Times New Roman" w:hAnsi="Times New Roman"/>
          <w:shd w:val="clear" w:color="auto" w:fill="FFFFFF"/>
        </w:rPr>
      </w:pPr>
      <w:r w:rsidRPr="0024555C">
        <w:rPr>
          <w:rFonts w:ascii="Times New Roman" w:hAnsi="Times New Roman" w:hint="eastAsia"/>
          <w:b/>
          <w:shd w:val="clear" w:color="auto" w:fill="FFFFFF"/>
        </w:rPr>
        <w:t>中文名称：</w:t>
      </w:r>
      <w:r w:rsidRPr="0024555C">
        <w:rPr>
          <w:rFonts w:ascii="Times New Roman" w:hAnsi="Times New Roman" w:hint="eastAsia"/>
          <w:shd w:val="clear" w:color="auto" w:fill="FFFFFF"/>
        </w:rPr>
        <w:t>中华人民共和国食品安全法实施条例</w:t>
      </w:r>
      <w:r w:rsidRPr="0024555C">
        <w:rPr>
          <w:rFonts w:ascii="Times New Roman" w:hAnsi="Times New Roman" w:hint="eastAsia"/>
        </w:rPr>
        <w:br/>
      </w:r>
      <w:r w:rsidRPr="0024555C">
        <w:rPr>
          <w:rFonts w:ascii="Times New Roman" w:hAnsi="Times New Roman" w:hint="eastAsia"/>
          <w:b/>
          <w:shd w:val="clear" w:color="auto" w:fill="FFFFFF"/>
        </w:rPr>
        <w:t>英文名称：</w:t>
      </w:r>
      <w:r w:rsidRPr="0024555C">
        <w:rPr>
          <w:rFonts w:ascii="Times New Roman" w:hAnsi="Times New Roman"/>
          <w:shd w:val="clear" w:color="auto" w:fill="FFFFFF"/>
        </w:rPr>
        <w:t>Regulations on Implementation of Food Safety Law of the People’s Republic of China</w:t>
      </w:r>
      <w:r w:rsidRPr="0024555C">
        <w:rPr>
          <w:rFonts w:ascii="Times New Roman" w:hAnsi="Times New Roman" w:hint="eastAsia"/>
        </w:rPr>
        <w:br/>
      </w:r>
      <w:r w:rsidRPr="0024555C">
        <w:rPr>
          <w:rFonts w:ascii="Times New Roman" w:hAnsi="Times New Roman" w:hint="eastAsia"/>
          <w:b/>
          <w:shd w:val="clear" w:color="auto" w:fill="FFFFFF"/>
        </w:rPr>
        <w:t>发布时间：</w:t>
      </w:r>
      <w:r w:rsidRPr="0024555C">
        <w:rPr>
          <w:rFonts w:ascii="Times New Roman" w:hAnsi="Times New Roman" w:hint="eastAsia"/>
          <w:shd w:val="clear" w:color="auto" w:fill="FFFFFF"/>
        </w:rPr>
        <w:t>2019/10/</w:t>
      </w:r>
      <w:r w:rsidRPr="0024555C">
        <w:rPr>
          <w:rFonts w:ascii="Times New Roman" w:hAnsi="Times New Roman"/>
          <w:shd w:val="clear" w:color="auto" w:fill="FFFFFF"/>
        </w:rPr>
        <w:t>31</w:t>
      </w:r>
    </w:p>
    <w:p w:rsidR="007C429B" w:rsidRPr="0024555C" w:rsidRDefault="007C429B" w:rsidP="00596D1F">
      <w:pPr>
        <w:pStyle w:val="a5"/>
        <w:shd w:val="clear" w:color="auto" w:fill="FFFFFF"/>
        <w:spacing w:before="0" w:beforeAutospacing="0" w:after="0" w:afterAutospacing="0" w:line="300" w:lineRule="auto"/>
        <w:rPr>
          <w:rFonts w:ascii="Times New Roman" w:hAnsi="Times New Roman"/>
          <w:shd w:val="clear" w:color="auto" w:fill="FFFFFF"/>
        </w:rPr>
      </w:pPr>
      <w:r w:rsidRPr="0024555C">
        <w:rPr>
          <w:rFonts w:ascii="Times New Roman" w:hAnsi="Times New Roman" w:hint="eastAsia"/>
          <w:b/>
          <w:shd w:val="clear" w:color="auto" w:fill="FFFFFF"/>
        </w:rPr>
        <w:t>实施时间：</w:t>
      </w:r>
      <w:r w:rsidRPr="0024555C">
        <w:rPr>
          <w:rFonts w:ascii="Times New Roman" w:hAnsi="Times New Roman" w:hint="eastAsia"/>
          <w:shd w:val="clear" w:color="auto" w:fill="FFFFFF"/>
        </w:rPr>
        <w:t>2019/12/01</w:t>
      </w:r>
    </w:p>
    <w:p w:rsidR="007C429B" w:rsidRPr="0024555C" w:rsidRDefault="007C429B" w:rsidP="00596D1F">
      <w:pPr>
        <w:pStyle w:val="a5"/>
        <w:shd w:val="clear" w:color="auto" w:fill="FFFFFF"/>
        <w:spacing w:before="0" w:beforeAutospacing="0" w:after="0" w:afterAutospacing="0" w:line="300" w:lineRule="auto"/>
        <w:rPr>
          <w:rFonts w:ascii="Times New Roman" w:hAnsi="Times New Roman"/>
          <w:shd w:val="clear" w:color="auto" w:fill="FFFFFF"/>
        </w:rPr>
      </w:pPr>
      <w:r w:rsidRPr="0024555C">
        <w:rPr>
          <w:rFonts w:ascii="Times New Roman" w:hAnsi="Times New Roman" w:hint="eastAsia"/>
          <w:b/>
          <w:shd w:val="clear" w:color="auto" w:fill="FFFFFF"/>
        </w:rPr>
        <w:t>发布单位：</w:t>
      </w:r>
      <w:r w:rsidRPr="0024555C">
        <w:rPr>
          <w:rFonts w:ascii="Times New Roman" w:hAnsi="Times New Roman" w:hint="eastAsia"/>
          <w:shd w:val="clear" w:color="auto" w:fill="FFFFFF"/>
        </w:rPr>
        <w:t>国务院</w:t>
      </w:r>
    </w:p>
    <w:p w:rsidR="007C429B" w:rsidRPr="0024555C" w:rsidRDefault="007C429B" w:rsidP="00596D1F">
      <w:pPr>
        <w:spacing w:line="300" w:lineRule="auto"/>
        <w:rPr>
          <w:rFonts w:ascii="Times New Roman" w:eastAsia="宋体" w:hAnsi="Times New Roman"/>
          <w:sz w:val="24"/>
          <w:szCs w:val="24"/>
        </w:rPr>
      </w:pP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中华人民共和国食品安全法实施条例</w:t>
      </w:r>
    </w:p>
    <w:p w:rsidR="008520CD" w:rsidRPr="0024555C" w:rsidRDefault="008520CD" w:rsidP="00596D1F">
      <w:pPr>
        <w:spacing w:line="300" w:lineRule="auto"/>
        <w:jc w:val="center"/>
        <w:rPr>
          <w:rFonts w:ascii="Times New Roman" w:eastAsia="宋体" w:hAnsi="Times New Roman"/>
          <w:sz w:val="24"/>
          <w:szCs w:val="24"/>
        </w:rPr>
      </w:pPr>
      <w:r w:rsidRPr="0024555C">
        <w:rPr>
          <w:rFonts w:ascii="Times New Roman" w:eastAsia="宋体" w:hAnsi="Times New Roman" w:hint="eastAsia"/>
          <w:sz w:val="24"/>
          <w:szCs w:val="24"/>
        </w:rPr>
        <w:t>（</w:t>
      </w:r>
      <w:r w:rsidRPr="0024555C">
        <w:rPr>
          <w:rFonts w:ascii="Times New Roman" w:eastAsia="宋体" w:hAnsi="Times New Roman" w:hint="eastAsia"/>
          <w:sz w:val="24"/>
          <w:szCs w:val="24"/>
        </w:rPr>
        <w:t>2009</w:t>
      </w:r>
      <w:r w:rsidRPr="0024555C">
        <w:rPr>
          <w:rFonts w:ascii="Times New Roman" w:eastAsia="宋体" w:hAnsi="Times New Roman" w:hint="eastAsia"/>
          <w:sz w:val="24"/>
          <w:szCs w:val="24"/>
        </w:rPr>
        <w:t>年</w:t>
      </w:r>
      <w:r w:rsidRPr="0024555C">
        <w:rPr>
          <w:rFonts w:ascii="Times New Roman" w:eastAsia="宋体" w:hAnsi="Times New Roman" w:hint="eastAsia"/>
          <w:sz w:val="24"/>
          <w:szCs w:val="24"/>
        </w:rPr>
        <w:t>7</w:t>
      </w:r>
      <w:r w:rsidRPr="0024555C">
        <w:rPr>
          <w:rFonts w:ascii="Times New Roman" w:eastAsia="宋体" w:hAnsi="Times New Roman" w:hint="eastAsia"/>
          <w:sz w:val="24"/>
          <w:szCs w:val="24"/>
        </w:rPr>
        <w:t>月</w:t>
      </w:r>
      <w:r w:rsidRPr="0024555C">
        <w:rPr>
          <w:rFonts w:ascii="Times New Roman" w:eastAsia="宋体" w:hAnsi="Times New Roman" w:hint="eastAsia"/>
          <w:sz w:val="24"/>
          <w:szCs w:val="24"/>
        </w:rPr>
        <w:t>20</w:t>
      </w:r>
      <w:r w:rsidRPr="0024555C">
        <w:rPr>
          <w:rFonts w:ascii="Times New Roman" w:eastAsia="宋体" w:hAnsi="Times New Roman" w:hint="eastAsia"/>
          <w:sz w:val="24"/>
          <w:szCs w:val="24"/>
        </w:rPr>
        <w:t>日中华人民共和国国务院令第</w:t>
      </w:r>
      <w:r w:rsidRPr="0024555C">
        <w:rPr>
          <w:rFonts w:ascii="Times New Roman" w:eastAsia="宋体" w:hAnsi="Times New Roman" w:hint="eastAsia"/>
          <w:sz w:val="24"/>
          <w:szCs w:val="24"/>
        </w:rPr>
        <w:t>557</w:t>
      </w:r>
      <w:r w:rsidRPr="0024555C">
        <w:rPr>
          <w:rFonts w:ascii="Times New Roman" w:eastAsia="宋体" w:hAnsi="Times New Roman" w:hint="eastAsia"/>
          <w:sz w:val="24"/>
          <w:szCs w:val="24"/>
        </w:rPr>
        <w:t>号公布</w:t>
      </w:r>
    </w:p>
    <w:p w:rsidR="008520CD" w:rsidRPr="0024555C" w:rsidRDefault="008520CD" w:rsidP="00596D1F">
      <w:pPr>
        <w:spacing w:line="300" w:lineRule="auto"/>
        <w:jc w:val="center"/>
        <w:rPr>
          <w:rFonts w:ascii="Times New Roman" w:eastAsia="宋体" w:hAnsi="Times New Roman"/>
          <w:sz w:val="24"/>
          <w:szCs w:val="24"/>
        </w:rPr>
      </w:pPr>
      <w:r w:rsidRPr="0024555C">
        <w:rPr>
          <w:rFonts w:ascii="Times New Roman" w:eastAsia="宋体" w:hAnsi="Times New Roman" w:hint="eastAsia"/>
          <w:sz w:val="24"/>
          <w:szCs w:val="24"/>
        </w:rPr>
        <w:t>根据</w:t>
      </w:r>
      <w:r w:rsidRPr="0024555C">
        <w:rPr>
          <w:rFonts w:ascii="Times New Roman" w:eastAsia="宋体" w:hAnsi="Times New Roman" w:hint="eastAsia"/>
          <w:sz w:val="24"/>
          <w:szCs w:val="24"/>
        </w:rPr>
        <w:t>2016</w:t>
      </w:r>
      <w:r w:rsidRPr="0024555C">
        <w:rPr>
          <w:rFonts w:ascii="Times New Roman" w:eastAsia="宋体" w:hAnsi="Times New Roman" w:hint="eastAsia"/>
          <w:sz w:val="24"/>
          <w:szCs w:val="24"/>
        </w:rPr>
        <w:t>年</w:t>
      </w:r>
      <w:r w:rsidRPr="0024555C">
        <w:rPr>
          <w:rFonts w:ascii="Times New Roman" w:eastAsia="宋体" w:hAnsi="Times New Roman" w:hint="eastAsia"/>
          <w:sz w:val="24"/>
          <w:szCs w:val="24"/>
        </w:rPr>
        <w:t>2</w:t>
      </w:r>
      <w:r w:rsidRPr="0024555C">
        <w:rPr>
          <w:rFonts w:ascii="Times New Roman" w:eastAsia="宋体" w:hAnsi="Times New Roman" w:hint="eastAsia"/>
          <w:sz w:val="24"/>
          <w:szCs w:val="24"/>
        </w:rPr>
        <w:t>月</w:t>
      </w:r>
      <w:r w:rsidRPr="0024555C">
        <w:rPr>
          <w:rFonts w:ascii="Times New Roman" w:eastAsia="宋体" w:hAnsi="Times New Roman" w:hint="eastAsia"/>
          <w:sz w:val="24"/>
          <w:szCs w:val="24"/>
        </w:rPr>
        <w:t>6</w:t>
      </w:r>
      <w:r w:rsidRPr="0024555C">
        <w:rPr>
          <w:rFonts w:ascii="Times New Roman" w:eastAsia="宋体" w:hAnsi="Times New Roman" w:hint="eastAsia"/>
          <w:sz w:val="24"/>
          <w:szCs w:val="24"/>
        </w:rPr>
        <w:t>日《国务院关于修改部分行政法规的决定》</w:t>
      </w:r>
    </w:p>
    <w:p w:rsidR="008520CD" w:rsidRPr="0024555C" w:rsidRDefault="008520CD" w:rsidP="00596D1F">
      <w:pPr>
        <w:spacing w:line="300" w:lineRule="auto"/>
        <w:jc w:val="center"/>
        <w:rPr>
          <w:rFonts w:ascii="Times New Roman" w:eastAsia="宋体" w:hAnsi="Times New Roman"/>
          <w:sz w:val="24"/>
          <w:szCs w:val="24"/>
        </w:rPr>
      </w:pPr>
      <w:r w:rsidRPr="0024555C">
        <w:rPr>
          <w:rFonts w:ascii="Times New Roman" w:eastAsia="宋体" w:hAnsi="Times New Roman" w:hint="eastAsia"/>
          <w:sz w:val="24"/>
          <w:szCs w:val="24"/>
        </w:rPr>
        <w:t>修订</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2019</w:t>
      </w:r>
      <w:r w:rsidRPr="0024555C">
        <w:rPr>
          <w:rFonts w:ascii="Times New Roman" w:eastAsia="宋体" w:hAnsi="Times New Roman" w:hint="eastAsia"/>
          <w:sz w:val="24"/>
          <w:szCs w:val="24"/>
        </w:rPr>
        <w:t>年</w:t>
      </w:r>
      <w:r w:rsidRPr="0024555C">
        <w:rPr>
          <w:rFonts w:ascii="Times New Roman" w:eastAsia="宋体" w:hAnsi="Times New Roman" w:hint="eastAsia"/>
          <w:sz w:val="24"/>
          <w:szCs w:val="24"/>
        </w:rPr>
        <w:t>3</w:t>
      </w:r>
      <w:r w:rsidRPr="0024555C">
        <w:rPr>
          <w:rFonts w:ascii="Times New Roman" w:eastAsia="宋体" w:hAnsi="Times New Roman" w:hint="eastAsia"/>
          <w:sz w:val="24"/>
          <w:szCs w:val="24"/>
        </w:rPr>
        <w:t>月</w:t>
      </w:r>
      <w:r w:rsidRPr="0024555C">
        <w:rPr>
          <w:rFonts w:ascii="Times New Roman" w:eastAsia="宋体" w:hAnsi="Times New Roman" w:hint="eastAsia"/>
          <w:sz w:val="24"/>
          <w:szCs w:val="24"/>
        </w:rPr>
        <w:t>26</w:t>
      </w:r>
      <w:r w:rsidRPr="0024555C">
        <w:rPr>
          <w:rFonts w:ascii="Times New Roman" w:eastAsia="宋体" w:hAnsi="Times New Roman" w:hint="eastAsia"/>
          <w:sz w:val="24"/>
          <w:szCs w:val="24"/>
        </w:rPr>
        <w:t>日国务院第</w:t>
      </w:r>
      <w:r w:rsidRPr="0024555C">
        <w:rPr>
          <w:rFonts w:ascii="Times New Roman" w:eastAsia="宋体" w:hAnsi="Times New Roman" w:hint="eastAsia"/>
          <w:sz w:val="24"/>
          <w:szCs w:val="24"/>
        </w:rPr>
        <w:t>42</w:t>
      </w:r>
      <w:r w:rsidRPr="0024555C">
        <w:rPr>
          <w:rFonts w:ascii="Times New Roman" w:eastAsia="宋体" w:hAnsi="Times New Roman" w:hint="eastAsia"/>
          <w:sz w:val="24"/>
          <w:szCs w:val="24"/>
        </w:rPr>
        <w:t>次常务会议修订通过）</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第一章</w:t>
      </w:r>
      <w:r w:rsidR="00347B5E"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总</w:t>
      </w:r>
      <w:r w:rsidR="00347B5E" w:rsidRPr="0024555C">
        <w:rPr>
          <w:rFonts w:ascii="Times New Roman" w:eastAsia="宋体" w:hAnsi="Times New Roman" w:hint="eastAsia"/>
          <w:b/>
          <w:sz w:val="24"/>
          <w:szCs w:val="24"/>
        </w:rPr>
        <w:t xml:space="preserve"> </w:t>
      </w:r>
      <w:r w:rsidR="00347B5E" w:rsidRPr="0024555C">
        <w:rPr>
          <w:rFonts w:ascii="Times New Roman" w:eastAsia="宋体" w:hAnsi="Times New Roman"/>
          <w:b/>
          <w:sz w:val="24"/>
          <w:szCs w:val="24"/>
        </w:rPr>
        <w:t xml:space="preserve"> </w:t>
      </w:r>
      <w:r w:rsidRPr="0024555C">
        <w:rPr>
          <w:rFonts w:ascii="Times New Roman" w:eastAsia="宋体" w:hAnsi="Times New Roman" w:hint="eastAsia"/>
          <w:b/>
          <w:sz w:val="24"/>
          <w:szCs w:val="24"/>
        </w:rPr>
        <w:t>则</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第一条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根据《中华人民共和国食品安全法》（以下简称食品安全法），制定本条例。</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食品生产经营者应当依照法律、法规和食品安全标准从事生产经营活动，建立健全食品安全管理制度，采取有效措施预防和控制食品安全风险，保证食品安全。</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县级以上人民政府建立统一权威的食品安全监督管理体制，加强食品安全监督管理能力建设。</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县级以上人民政府食品安全监督管理部门和其他有关部门应当依法履行职责，加强协调配合，做好食品安全监督管理工作。</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乡镇人民政府和街道办事处应当支持、协助县级人民政府食品安全监督管理部门及其派出机构依法开展食品安全监督管理工作。</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国家将食品安全知识纳入国民素质教育内容，普及食品安全科学常识和法律知识，提高全社会的食品安全意识。</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第二章</w:t>
      </w:r>
      <w:r w:rsidR="00347B5E"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食品安全风险监测和评估</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县级以上人民政府卫生行政部门会同同级食品安全监督管理等部门建立食品安全风险监测会商机制，汇总、分析风险监测数据，研判食品安全风险，</w:t>
      </w:r>
      <w:r w:rsidRPr="0024555C">
        <w:rPr>
          <w:rFonts w:ascii="Times New Roman" w:eastAsia="宋体" w:hAnsi="Times New Roman" w:hint="eastAsia"/>
          <w:sz w:val="24"/>
          <w:szCs w:val="24"/>
        </w:rPr>
        <w:lastRenderedPageBreak/>
        <w:t>形成食品安全风险监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食品安全风险监测结果表明存在食品安全隐患，食品安全监督管理等部门经进一步调查确认有必要通知相关食品生产经营者的，应当及时通知。</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接到通知的食品生产经营者应当立即进行自查，发现食品不符合食品安全标准或者有证据证明可能危害人体健康的，应当依照食品安全法第六十三条的规定停止生产、经营，实施食品召回，并报告相关情况。</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第九条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国务院食品安全监督管理部门和其他有关部门建立食品安全风险信息交流机制，明确食品安全风险信息交流的内容、程序和要求。</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第三章</w:t>
      </w:r>
      <w:r w:rsidR="00347B5E"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食品安全标准</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第十一条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省、自治区、直辖市人民政府卫生行政部门依照食品安全法第二十九条的规定制定食品安全地方标准，应当公开征求意见。省、自治区、直辖市人民政府卫生行政部门应当自食品安全地方标准公布之日起</w:t>
      </w:r>
      <w:r w:rsidRPr="0024555C">
        <w:rPr>
          <w:rFonts w:ascii="Times New Roman" w:eastAsia="宋体" w:hAnsi="Times New Roman" w:hint="eastAsia"/>
          <w:sz w:val="24"/>
          <w:szCs w:val="24"/>
        </w:rPr>
        <w:t>30</w:t>
      </w:r>
      <w:r w:rsidRPr="0024555C">
        <w:rPr>
          <w:rFonts w:ascii="Times New Roman" w:eastAsia="宋体" w:hAnsi="Times New Roman" w:hint="eastAsia"/>
          <w:sz w:val="24"/>
          <w:szCs w:val="24"/>
        </w:rPr>
        <w:t>个工作日内，将地方标准报国务院卫生行政部门备案。国务院卫生行政部门发现备案的食品安全地方标准违反法律、法规或者食品安全国家标准的，应当及时予以纠正。</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食品安全地方标准依法废止的，省、自治区、直辖市人民政府卫生行政部门应当及时在其网站上公布废止情况。</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第十二条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保健食品、特殊医学用途配方食品、婴幼儿配方食品等特殊食品不属于地方特色食品，不得对其制定食品安全地方标准。</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第十三条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食品安全标准公布后，食品生产经营者可以在食品安全标准规定的实施日期之前实施并公开提前实施情况。</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第十四条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食品生产企业制定企业标准的，应当公开，供公众免费查阅。</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第四章</w:t>
      </w:r>
      <w:r w:rsidR="00347B5E"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食品生产经营</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第十五条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食品生产经营许可的有效期为</w:t>
      </w:r>
      <w:r w:rsidRPr="0024555C">
        <w:rPr>
          <w:rFonts w:ascii="Times New Roman" w:eastAsia="宋体" w:hAnsi="Times New Roman" w:hint="eastAsia"/>
          <w:sz w:val="24"/>
          <w:szCs w:val="24"/>
        </w:rPr>
        <w:t>5</w:t>
      </w:r>
      <w:r w:rsidRPr="0024555C">
        <w:rPr>
          <w:rFonts w:ascii="Times New Roman" w:eastAsia="宋体" w:hAnsi="Times New Roman" w:hint="eastAsia"/>
          <w:sz w:val="24"/>
          <w:szCs w:val="24"/>
        </w:rPr>
        <w:t>年。</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食品生产经营者的生产经营条件发生变化，不再符合食品生产经营要求的，食品生产经营者应当立即采取整改措施；需要重新办理许可手续的，应当依法办理。</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第十六条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国务院卫生行政部门应当及时公布新的食品原料、食品添加剂新品种和食品相关产品新品种目录以及所适用的食品安全国家标准。</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对按照传统既是食品又是中药材的物质目录，国务院卫生行政部门会同国务院食品安全监督管理部门应当及时更新。</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第十七条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国务院食品安全监督管理部门会同国务院农业行政等有关部门明确食品安全全程追溯基本要求，指导食品生产经营者通过信息化手段建立、完善食品安全追溯体系。</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食品安全监督管理等部门应当将婴幼儿配方食品等针对特定人群的食品以及其他食品安全风险较高或者销售量大的食品的追溯体系建设作为监督检查的重点。</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第十八条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食品生产经营者应当建立食品安全追溯体系，依照食品安全法的规定如实记录并保存进货查验、出厂检验、食品销售等信息，保证食品可追溯。</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第十九条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第二十一条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第二十二条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食品生产经营者不得在食品生产、加工场所贮存依照本条例第六十三条规定制定的名录中的物质。</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第二十三条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对食品进行辐照加工，应当遵守食品安全国家标准，并按照食</w:t>
      </w:r>
      <w:r w:rsidRPr="0024555C">
        <w:rPr>
          <w:rFonts w:ascii="Times New Roman" w:eastAsia="宋体" w:hAnsi="Times New Roman" w:hint="eastAsia"/>
          <w:sz w:val="24"/>
          <w:szCs w:val="24"/>
        </w:rPr>
        <w:lastRenderedPageBreak/>
        <w:t>品安全国家标准的要求对辐照加工食品进行检验和标注。</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第二十四条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贮存、运输对温度、湿度等有特殊要求的食品，应当具备保温、冷藏或者冷冻等设备设施，并保持有效运行。</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第二十五条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接受食品生产经营者委托贮存、运输食品的，应当如实记录委托方和收货方的名称、地址、联系方式等内容。记录保存期限不得少于贮存、运输结束后</w:t>
      </w:r>
      <w:r w:rsidRPr="0024555C">
        <w:rPr>
          <w:rFonts w:ascii="Times New Roman" w:eastAsia="宋体" w:hAnsi="Times New Roman" w:hint="eastAsia"/>
          <w:sz w:val="24"/>
          <w:szCs w:val="24"/>
        </w:rPr>
        <w:t>2</w:t>
      </w:r>
      <w:r w:rsidRPr="0024555C">
        <w:rPr>
          <w:rFonts w:ascii="Times New Roman" w:eastAsia="宋体" w:hAnsi="Times New Roman" w:hint="eastAsia"/>
          <w:sz w:val="24"/>
          <w:szCs w:val="24"/>
        </w:rPr>
        <w:t>年。</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非食品生产经营者从事对温度、湿度等有特殊要求的食品贮存业务的，应当自取得营业执照之日起</w:t>
      </w:r>
      <w:r w:rsidRPr="0024555C">
        <w:rPr>
          <w:rFonts w:ascii="Times New Roman" w:eastAsia="宋体" w:hAnsi="Times New Roman" w:hint="eastAsia"/>
          <w:sz w:val="24"/>
          <w:szCs w:val="24"/>
        </w:rPr>
        <w:t>30</w:t>
      </w:r>
      <w:r w:rsidRPr="0024555C">
        <w:rPr>
          <w:rFonts w:ascii="Times New Roman" w:eastAsia="宋体" w:hAnsi="Times New Roman" w:hint="eastAsia"/>
          <w:sz w:val="24"/>
          <w:szCs w:val="24"/>
        </w:rPr>
        <w:t>个工作日内向所在地县级人民政府食品安全监督管理部门备案。</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第二十六条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餐饮服务提供者委托餐具饮具集中消毒服务单位提供清洗消毒服务的，应当查验、留存餐具饮具集中消毒服务单位的营业执照复印件和消毒合格证明。保存期限不得少于消毒餐具饮具使用期限到期后</w:t>
      </w:r>
      <w:r w:rsidRPr="0024555C">
        <w:rPr>
          <w:rFonts w:ascii="Times New Roman" w:eastAsia="宋体" w:hAnsi="Times New Roman" w:hint="eastAsia"/>
          <w:sz w:val="24"/>
          <w:szCs w:val="24"/>
        </w:rPr>
        <w:t>6</w:t>
      </w:r>
      <w:r w:rsidRPr="0024555C">
        <w:rPr>
          <w:rFonts w:ascii="Times New Roman" w:eastAsia="宋体" w:hAnsi="Times New Roman" w:hint="eastAsia"/>
          <w:sz w:val="24"/>
          <w:szCs w:val="24"/>
        </w:rPr>
        <w:t>个月。</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第二十七条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w:t>
      </w:r>
      <w:r w:rsidR="008520CD" w:rsidRPr="0024555C">
        <w:rPr>
          <w:rFonts w:ascii="Times New Roman" w:eastAsia="宋体" w:hAnsi="Times New Roman" w:hint="eastAsia"/>
          <w:sz w:val="24"/>
          <w:szCs w:val="24"/>
        </w:rPr>
        <w:t>6</w:t>
      </w:r>
      <w:r w:rsidR="008520CD" w:rsidRPr="0024555C">
        <w:rPr>
          <w:rFonts w:ascii="Times New Roman" w:eastAsia="宋体" w:hAnsi="Times New Roman" w:hint="eastAsia"/>
          <w:sz w:val="24"/>
          <w:szCs w:val="24"/>
        </w:rPr>
        <w:t>个月。消毒后的餐具饮具应当在独立包装上标注单位名称、地址、联系方式、消毒日期和批号以及使用期限等内容。</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第二十八条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学校、托幼机构、养老机构、建筑工地等集中用餐单位的食堂应当执行原料控制、餐具饮具清洗消毒、食品留样等制度，并依照食品安全法第四十七条的规定定期开展食堂食品安全自查。</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承包经营集中用餐单位食堂的，应当依法取得食品经营许可，并对食堂的食品安全负责。集中用餐单位应当督促承包方落实食品安全管理制度，承担管理责任。</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第二十九条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食品生产经营者应当对变质、超过保质期或者回收的食品进行显著标示或者单独存放在有明确标志的场所，及时采取无害化处理、销毁等措施并如实记录。</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食品安全法所称回收食品，是指已经售出，因违反法律、法规、食品安全标准或者超过保质期等原因，被召回或者退回的食品，不包括依照食品安全法第六十三条第三款的规定可以继续销售的食品。</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县级以上地方人民政府根据需要建设必要的食品无害化处理和销毁设施。食品生产经营者可以按照规定使用政府建设的设施对食品进行无害化处理或者予以销毁。</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lastRenderedPageBreak/>
        <w:t>第三十一条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食品集中交易市场的开办者、食品展销会的举办者应当在市场开业或者展销会举办前向所在地县级人民政府食品安全监督管理部门报告。</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第三十二条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第三十三条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生产经营转基因食品应当显著标示，标示办法由国务院食品安全监督管理部门会同国务院农业行政部门制定。</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第三十四条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禁止利用包括会议、讲座、健康咨询在内的任何方式对食品进行虚假宣传。食品安全监督管理部门发现虚假宣传行为的，应当依法及时处理。</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第三十五条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保健食品生产工艺有原料提取、纯化等前处理工序的，生产企业应当具备相应的原料前处理能力。</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第三十六条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特殊医学用途配方食品生产企业应当按照食品安全国家标准规定的检验项目对出厂产品实施逐批检验。</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第三十七条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特殊医学用途配方食品中的特定全营养配方食品广告按照处方药广告管理，其他类别的特殊医学用途配方食品广告按照非处方药广告管理。</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第三十八条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对保健食品之外的其他食品，不得声称具有保健功能。</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对添加食品安全国家标准规定的选择性添加物质的婴幼儿配方食品，不得以选择性添加物质命名。</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第三十九条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特殊食品的标签、说明书内容应当与注册或者备案的标签、说明书一致。销售特殊食品，应当核对食品标签、说明书内容是否与注册或</w:t>
      </w:r>
      <w:bookmarkStart w:id="0" w:name="_GoBack"/>
      <w:bookmarkEnd w:id="0"/>
      <w:r w:rsidR="008520CD" w:rsidRPr="0024555C">
        <w:rPr>
          <w:rFonts w:ascii="Times New Roman" w:eastAsia="宋体" w:hAnsi="Times New Roman" w:hint="eastAsia"/>
          <w:sz w:val="24"/>
          <w:szCs w:val="24"/>
        </w:rPr>
        <w:t>者备案的标签、说明书一致，不一致的不得销售。省级以上人民政府食品安全监督管理部门应当在其网站上公布注册或者备案的特殊食品的标签、说明书。</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特殊食品不得与普通食品或者药品混放销售。</w:t>
      </w:r>
    </w:p>
    <w:p w:rsidR="008520CD" w:rsidRPr="0024555C" w:rsidRDefault="008520CD" w:rsidP="00596D1F">
      <w:pPr>
        <w:spacing w:line="300" w:lineRule="auto"/>
        <w:rPr>
          <w:rFonts w:ascii="Times New Roman" w:eastAsia="宋体" w:hAnsi="Times New Roman"/>
          <w:sz w:val="24"/>
          <w:szCs w:val="24"/>
        </w:rPr>
      </w:pPr>
    </w:p>
    <w:p w:rsidR="008520CD" w:rsidRPr="0024555C" w:rsidRDefault="00347B5E"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第五章</w:t>
      </w:r>
      <w:r w:rsidRPr="0024555C">
        <w:rPr>
          <w:rFonts w:ascii="Times New Roman" w:eastAsia="宋体" w:hAnsi="Times New Roman" w:hint="eastAsia"/>
          <w:b/>
          <w:sz w:val="24"/>
          <w:szCs w:val="24"/>
        </w:rPr>
        <w:t xml:space="preserve"> </w:t>
      </w:r>
      <w:r w:rsidR="008520CD" w:rsidRPr="0024555C">
        <w:rPr>
          <w:rFonts w:ascii="Times New Roman" w:eastAsia="宋体" w:hAnsi="Times New Roman" w:hint="eastAsia"/>
          <w:b/>
          <w:sz w:val="24"/>
          <w:szCs w:val="24"/>
        </w:rPr>
        <w:t>食品检验</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对食品进行抽样检验，应当按照食品安全标准、注册或者备案的特殊食品的产品技术要求以及国家有关规定确定的检验项目和检验方法进行。</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第四十一条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对可能掺杂掺假的食品，按照现有食品安全标准规定的检验项</w:t>
      </w:r>
      <w:r w:rsidRPr="0024555C">
        <w:rPr>
          <w:rFonts w:ascii="Times New Roman" w:eastAsia="宋体" w:hAnsi="Times New Roman" w:hint="eastAsia"/>
          <w:sz w:val="24"/>
          <w:szCs w:val="24"/>
        </w:rPr>
        <w:lastRenderedPageBreak/>
        <w:t>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第四十二条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复检机构无正当理由不得拒绝承担复检任务。</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第四十三条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任何单位和个人不得发布未依法取得资质认定的食品检验机构出具的食品检验信息，不得利用上述检验信息对食品、食品生产经营者进行等级评定，欺骗、误导消费者。</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第六章</w:t>
      </w:r>
      <w:r w:rsidR="00347B5E"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食品进出口</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第四十四条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进口商进口食品、食品添加剂，应当按照规定向出入境检验检疫机构报检，如实申报产品相关信息，并随附法律、行政法规规定的合格证明材料。</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第四十五条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进口食品运达口岸后，应当存放在出入境检验检疫机构指定或者认可的场所；需要移动的，应当按照出入境检验检疫机构的要求采取必要的安全防护措施。大宗散装进口食品应当在卸货口岸进行检验。</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第四十六条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国家出入境检验检疫部门根据风险管理需要，可以对部分食品实行指定口岸进口。</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第四十七条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食品安全国家标准中通用标准已经涵盖的食品不属于食品安全法第九十三条规定的尚无食品安全国家标准的食品。</w:t>
      </w:r>
    </w:p>
    <w:p w:rsidR="008520CD" w:rsidRPr="0024555C" w:rsidRDefault="00347B5E"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第四十八条</w:t>
      </w:r>
      <w:r w:rsidRPr="0024555C">
        <w:rPr>
          <w:rFonts w:ascii="Times New Roman" w:eastAsia="宋体" w:hAnsi="Times New Roman" w:hint="eastAsia"/>
          <w:sz w:val="24"/>
          <w:szCs w:val="24"/>
        </w:rPr>
        <w:t xml:space="preserve"> </w:t>
      </w:r>
      <w:r w:rsidR="008520CD" w:rsidRPr="0024555C">
        <w:rPr>
          <w:rFonts w:ascii="Times New Roman" w:eastAsia="宋体" w:hAnsi="Times New Roman" w:hint="eastAsia"/>
          <w:sz w:val="24"/>
          <w:szCs w:val="24"/>
        </w:rPr>
        <w:t>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第四十九条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进口商依照食品安全法第九十四条第三款的规定召回进口食品的，应当将食品召回和处理情况向所在地县级人民政府食品安全监督管理部门和所在地出入境检验检疫机构报告。</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lastRenderedPageBreak/>
        <w:t>第五十条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第五十一条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对通过我国良好生产规范、危害分析与关键控制点体系认证的境外生产企业，认证机构应当依法实施跟踪调查。对不再符合认证要求的企业，认证机构应当依法撤销认证并向社会公布。</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第五十二条</w:t>
      </w:r>
      <w:r w:rsidR="00347B5E"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（一）退货或者销毁处理；</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（二）有条件地限制进口；</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（三）暂停或者禁止进口。</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第五十三条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出口食品、食品添加剂的生产企业应当保证其出口食品、食品添加剂符合进口国家（地区）的标准或者合同要求；我国缔结或者参加的国际条约、协定有要求的，还应当符合国际条约、协定的要求。</w:t>
      </w:r>
    </w:p>
    <w:p w:rsidR="00306112" w:rsidRPr="0024555C" w:rsidRDefault="00306112" w:rsidP="00596D1F">
      <w:pPr>
        <w:spacing w:line="300" w:lineRule="auto"/>
        <w:ind w:firstLineChars="200" w:firstLine="480"/>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第七章</w:t>
      </w:r>
      <w:r w:rsidR="00306112"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食品安全事故处置</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第五十四条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食品安全事故按照国家食品安全事故应急预案实行分级管理。县级以上人民政府食品安全监督管理部门会同同级有关部门负责食品安全事故调查处理。</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县级以上人民政府应当根据实际情况及时修改、完善食品安全事故应急预案。</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第五十五条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县级以上人民政府应当完善食品安全事故应急管理机制，改善应急装备，做好应急物资储备和应急队伍建设，加强应急培训、演练。</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第五十六条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发生食品安全事故的单位应当对导致或者可能导致食品安全事故的食品及原料、工具、设备、设施等，立即采取封存等控制措施。</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第五十七条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疾病预防控制机构应当在调查结束后向同级食品安全监督管理、卫生行政部门同时提交流行病学调查报告。</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lastRenderedPageBreak/>
        <w:t>任何单位和个人不得拒绝、阻挠疾病预防控制机构开展流行病学调查。有关部门应当对疾病预防控制机构开展流行病学调查予以协助。</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第五十八条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国务院食品安全监督管理部门会同国务院卫生行政、农业行政等部门定期对全国食品安全事故情况进行分析，完善食品安全监督管理措施，预防和减少事故的发生。</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第八章</w:t>
      </w:r>
      <w:r w:rsidR="00306112"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监督管理</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第五十九条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设区的市级以上人民政府食品安全监督管理部门认为必要的，可以直接调查处理下级人民政府食品安全监督管理部门管辖的食品安全违法案件，也可以指定其他下级人民政府食品安全监督管理部门调查处理。</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国家建立食品安全检查员制度，依托现有资源加强职业化检查员队伍建设，强化考核培训，提高检查员专业化水平。</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第六十一条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县级以上人民政府食品安全监督管理部门依照食品安全法第一百一十条的规定实施查封、扣押措施，查封、扣押的期限不得超过</w:t>
      </w:r>
      <w:r w:rsidRPr="0024555C">
        <w:rPr>
          <w:rFonts w:ascii="Times New Roman" w:eastAsia="宋体" w:hAnsi="Times New Roman" w:hint="eastAsia"/>
          <w:sz w:val="24"/>
          <w:szCs w:val="24"/>
        </w:rPr>
        <w:t>30</w:t>
      </w:r>
      <w:r w:rsidRPr="0024555C">
        <w:rPr>
          <w:rFonts w:ascii="Times New Roman" w:eastAsia="宋体" w:hAnsi="Times New Roman" w:hint="eastAsia"/>
          <w:sz w:val="24"/>
          <w:szCs w:val="24"/>
        </w:rPr>
        <w:t>日；情况复杂的，经实施查封、扣押措施的食品安全监督管理部门负责人批准，可以延长，延长期限不得超过</w:t>
      </w:r>
      <w:r w:rsidRPr="0024555C">
        <w:rPr>
          <w:rFonts w:ascii="Times New Roman" w:eastAsia="宋体" w:hAnsi="Times New Roman" w:hint="eastAsia"/>
          <w:sz w:val="24"/>
          <w:szCs w:val="24"/>
        </w:rPr>
        <w:t>45</w:t>
      </w:r>
      <w:r w:rsidRPr="0024555C">
        <w:rPr>
          <w:rFonts w:ascii="Times New Roman" w:eastAsia="宋体" w:hAnsi="Times New Roman" w:hint="eastAsia"/>
          <w:sz w:val="24"/>
          <w:szCs w:val="24"/>
        </w:rPr>
        <w:t>日。</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第六十二条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第六十三条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第六十四条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县级以上地方人民政府卫生行政部门应当对餐具饮具集中消毒服务单位进行监督检查，发现不符合法律、法规、国家相关标准以及相关卫生规范等要求的，应当及时调查处理。监督检查的结果应当向社会公布。</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第六十五条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w:t>
      </w:r>
      <w:r w:rsidRPr="0024555C">
        <w:rPr>
          <w:rFonts w:ascii="Times New Roman" w:eastAsia="宋体" w:hAnsi="Times New Roman" w:hint="eastAsia"/>
          <w:sz w:val="24"/>
          <w:szCs w:val="24"/>
        </w:rPr>
        <w:lastRenderedPageBreak/>
        <w:t>等有关部门制定。</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食品安全违法行为举报奖励资金纳入各级人民政府预算。</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第六十六条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第九章</w:t>
      </w:r>
      <w:r w:rsidR="00306112"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法律责任</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第六十七条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有下列情形之一的，属于食品安全法第一百二十三条至第一百二十六条、第一百三十二条以及本条例第七十二条、第七十三条规定的情节严重情形：</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（一）违法行为涉及的产品货值金额</w:t>
      </w:r>
      <w:r w:rsidRPr="0024555C">
        <w:rPr>
          <w:rFonts w:ascii="Times New Roman" w:eastAsia="宋体" w:hAnsi="Times New Roman" w:hint="eastAsia"/>
          <w:sz w:val="24"/>
          <w:szCs w:val="24"/>
        </w:rPr>
        <w:t>2</w:t>
      </w:r>
      <w:r w:rsidRPr="0024555C">
        <w:rPr>
          <w:rFonts w:ascii="Times New Roman" w:eastAsia="宋体" w:hAnsi="Times New Roman" w:hint="eastAsia"/>
          <w:sz w:val="24"/>
          <w:szCs w:val="24"/>
        </w:rPr>
        <w:t>万元以上或者违法行为持续时间</w:t>
      </w:r>
      <w:r w:rsidRPr="0024555C">
        <w:rPr>
          <w:rFonts w:ascii="Times New Roman" w:eastAsia="宋体" w:hAnsi="Times New Roman" w:hint="eastAsia"/>
          <w:sz w:val="24"/>
          <w:szCs w:val="24"/>
        </w:rPr>
        <w:t>3</w:t>
      </w:r>
      <w:r w:rsidRPr="0024555C">
        <w:rPr>
          <w:rFonts w:ascii="Times New Roman" w:eastAsia="宋体" w:hAnsi="Times New Roman" w:hint="eastAsia"/>
          <w:sz w:val="24"/>
          <w:szCs w:val="24"/>
        </w:rPr>
        <w:t>个月以上；</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（二）造成食源性疾病并出现死亡病例，或者造成</w:t>
      </w:r>
      <w:r w:rsidRPr="0024555C">
        <w:rPr>
          <w:rFonts w:ascii="Times New Roman" w:eastAsia="宋体" w:hAnsi="Times New Roman" w:hint="eastAsia"/>
          <w:sz w:val="24"/>
          <w:szCs w:val="24"/>
        </w:rPr>
        <w:t>30</w:t>
      </w:r>
      <w:r w:rsidRPr="0024555C">
        <w:rPr>
          <w:rFonts w:ascii="Times New Roman" w:eastAsia="宋体" w:hAnsi="Times New Roman" w:hint="eastAsia"/>
          <w:sz w:val="24"/>
          <w:szCs w:val="24"/>
        </w:rPr>
        <w:t>人以上食源性疾病但未出现死亡病例；</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（三）故意提供虚假信息或者隐瞒真实情况；</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（四）拒绝、逃避监督检查；</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（五）因违反食品安全法律、法规受到行政处罚后</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年内又实施同一性质的食品安全违法行为，或者因违反食品安全法律、法规受到刑事处罚后又实施食品安全违法行为；</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（六）其他情节严重的情形。</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对情节严重的违法行为处以罚款时，应当依法从重从严。</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第六十八条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有下列情形之一的，依照食品安全法第一百二十五条第一款、本条例第七十五条的规定给予处罚：</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（一）在食品生产、加工场所贮存依照本条例第六十三条规定制定的名录中的物质；</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（二）生产经营的保健食品之外的食品的标签、说明书声称具有保健功能；</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（三）以食品安全国家标准规定的选择性添加物质命名婴幼儿配方食品；</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（四）生产经营的特殊食品的标签、说明书内容与注册或者备案的标签、说明书不一致。</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第六十九条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有下列情形之一的，依照食品安全法第一百二十六条第一款、本条例第七十五条的规定给予处罚：</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（一）接受食品生产经营者委托贮存、运输食品，未按照规定记录保存信息；</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（二）餐饮服务提供者未查验、留存餐具饮具集中消毒服务单位的营业执照复印件和消毒合格证明；</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lastRenderedPageBreak/>
        <w:t>（三）食品生产经营者未按照规定对变质、超过保质期或者回收的食品进行标示或者存放，或者未及时对上述食品采取无害化处理、销毁等措施并如实记录；</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（四）医疗机构和药品零售企业之外的单位或者个人向消费者销售特殊医学用途配方食品中的特定全营养配方食品；</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（五）将特殊食品与普通食品或者药品混放销售。</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第七十一条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餐具饮具集中消毒服务单位未按照规定建立并遵守出厂检验记录制度的，由县级以上人民政府卫生行政部门依照食品安全法第一百二十六条第一款、本条例第七十五条的规定给予处罚。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第七十二条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万元以上</w:t>
      </w:r>
      <w:r w:rsidRPr="0024555C">
        <w:rPr>
          <w:rFonts w:ascii="Times New Roman" w:eastAsia="宋体" w:hAnsi="Times New Roman" w:hint="eastAsia"/>
          <w:sz w:val="24"/>
          <w:szCs w:val="24"/>
        </w:rPr>
        <w:t>5</w:t>
      </w:r>
      <w:r w:rsidRPr="0024555C">
        <w:rPr>
          <w:rFonts w:ascii="Times New Roman" w:eastAsia="宋体" w:hAnsi="Times New Roman" w:hint="eastAsia"/>
          <w:sz w:val="24"/>
          <w:szCs w:val="24"/>
        </w:rPr>
        <w:t>万元以下罚款；情节严重的，责令停产停业，并处</w:t>
      </w:r>
      <w:r w:rsidRPr="0024555C">
        <w:rPr>
          <w:rFonts w:ascii="Times New Roman" w:eastAsia="宋体" w:hAnsi="Times New Roman" w:hint="eastAsia"/>
          <w:sz w:val="24"/>
          <w:szCs w:val="24"/>
        </w:rPr>
        <w:t>5</w:t>
      </w:r>
      <w:r w:rsidRPr="0024555C">
        <w:rPr>
          <w:rFonts w:ascii="Times New Roman" w:eastAsia="宋体" w:hAnsi="Times New Roman" w:hint="eastAsia"/>
          <w:sz w:val="24"/>
          <w:szCs w:val="24"/>
        </w:rPr>
        <w:t>万元以上</w:t>
      </w:r>
      <w:r w:rsidRPr="0024555C">
        <w:rPr>
          <w:rFonts w:ascii="Times New Roman" w:eastAsia="宋体" w:hAnsi="Times New Roman" w:hint="eastAsia"/>
          <w:sz w:val="24"/>
          <w:szCs w:val="24"/>
        </w:rPr>
        <w:t>20</w:t>
      </w:r>
      <w:r w:rsidRPr="0024555C">
        <w:rPr>
          <w:rFonts w:ascii="Times New Roman" w:eastAsia="宋体" w:hAnsi="Times New Roman" w:hint="eastAsia"/>
          <w:sz w:val="24"/>
          <w:szCs w:val="24"/>
        </w:rPr>
        <w:t>万元以下罚款。</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第七十三条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第七十四条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万元的，并处</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万元以上</w:t>
      </w:r>
      <w:r w:rsidRPr="0024555C">
        <w:rPr>
          <w:rFonts w:ascii="Times New Roman" w:eastAsia="宋体" w:hAnsi="Times New Roman" w:hint="eastAsia"/>
          <w:sz w:val="24"/>
          <w:szCs w:val="24"/>
        </w:rPr>
        <w:t>5</w:t>
      </w:r>
      <w:r w:rsidRPr="0024555C">
        <w:rPr>
          <w:rFonts w:ascii="Times New Roman" w:eastAsia="宋体" w:hAnsi="Times New Roman" w:hint="eastAsia"/>
          <w:sz w:val="24"/>
          <w:szCs w:val="24"/>
        </w:rPr>
        <w:t>万元以下罚款，货值金额</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万元以上的，并处货值金额</w:t>
      </w:r>
      <w:r w:rsidRPr="0024555C">
        <w:rPr>
          <w:rFonts w:ascii="Times New Roman" w:eastAsia="宋体" w:hAnsi="Times New Roman" w:hint="eastAsia"/>
          <w:sz w:val="24"/>
          <w:szCs w:val="24"/>
        </w:rPr>
        <w:t>5</w:t>
      </w:r>
      <w:r w:rsidRPr="0024555C">
        <w:rPr>
          <w:rFonts w:ascii="Times New Roman" w:eastAsia="宋体" w:hAnsi="Times New Roman" w:hint="eastAsia"/>
          <w:sz w:val="24"/>
          <w:szCs w:val="24"/>
        </w:rPr>
        <w:t>倍以上</w:t>
      </w:r>
      <w:r w:rsidRPr="0024555C">
        <w:rPr>
          <w:rFonts w:ascii="Times New Roman" w:eastAsia="宋体" w:hAnsi="Times New Roman" w:hint="eastAsia"/>
          <w:sz w:val="24"/>
          <w:szCs w:val="24"/>
        </w:rPr>
        <w:t>10</w:t>
      </w:r>
      <w:r w:rsidRPr="0024555C">
        <w:rPr>
          <w:rFonts w:ascii="Times New Roman" w:eastAsia="宋体" w:hAnsi="Times New Roman" w:hint="eastAsia"/>
          <w:sz w:val="24"/>
          <w:szCs w:val="24"/>
        </w:rPr>
        <w:t>倍以下罚款。</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第七十五条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倍以上</w:t>
      </w:r>
      <w:r w:rsidRPr="0024555C">
        <w:rPr>
          <w:rFonts w:ascii="Times New Roman" w:eastAsia="宋体" w:hAnsi="Times New Roman" w:hint="eastAsia"/>
          <w:sz w:val="24"/>
          <w:szCs w:val="24"/>
        </w:rPr>
        <w:t>10</w:t>
      </w:r>
      <w:r w:rsidRPr="0024555C">
        <w:rPr>
          <w:rFonts w:ascii="Times New Roman" w:eastAsia="宋体" w:hAnsi="Times New Roman" w:hint="eastAsia"/>
          <w:sz w:val="24"/>
          <w:szCs w:val="24"/>
        </w:rPr>
        <w:t>倍以下罚款：</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（一）故意实施违法行为；</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（二）违法行为性质恶劣；</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lastRenderedPageBreak/>
        <w:t>（三）违法行为造成严重后果。</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属于食品安全法第一百二十五条第二款规定情形的，不适用前款规定。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第七十六条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食品生产经营者依照食品安全法第六十三条第一款、第二款的规定停止生产、经营，实施食品召回，或者采取其他有效措施减轻或者消除食品安全风险，未造成危害后果的，可以从轻或者减轻处罚。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第七十七条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第七十八条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第七十九条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复检机构无正当理由拒绝承担复检任务的，由县级以上人民政府食品安全监督管理部门给予警告，无正当理由</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年内</w:t>
      </w:r>
      <w:r w:rsidRPr="0024555C">
        <w:rPr>
          <w:rFonts w:ascii="Times New Roman" w:eastAsia="宋体" w:hAnsi="Times New Roman" w:hint="eastAsia"/>
          <w:sz w:val="24"/>
          <w:szCs w:val="24"/>
        </w:rPr>
        <w:t>2</w:t>
      </w:r>
      <w:r w:rsidRPr="0024555C">
        <w:rPr>
          <w:rFonts w:ascii="Times New Roman" w:eastAsia="宋体" w:hAnsi="Times New Roman" w:hint="eastAsia"/>
          <w:sz w:val="24"/>
          <w:szCs w:val="24"/>
        </w:rPr>
        <w:t>次拒绝承担复检任务的，由国务院有关部门撤销其复检机构资质并向社会公布。</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第八十条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w:t>
      </w:r>
      <w:r w:rsidRPr="0024555C">
        <w:rPr>
          <w:rFonts w:ascii="Times New Roman" w:eastAsia="宋体" w:hAnsi="Times New Roman" w:hint="eastAsia"/>
          <w:sz w:val="24"/>
          <w:szCs w:val="24"/>
        </w:rPr>
        <w:t>10</w:t>
      </w:r>
      <w:r w:rsidRPr="0024555C">
        <w:rPr>
          <w:rFonts w:ascii="Times New Roman" w:eastAsia="宋体" w:hAnsi="Times New Roman" w:hint="eastAsia"/>
          <w:sz w:val="24"/>
          <w:szCs w:val="24"/>
        </w:rPr>
        <w:t>万元以上</w:t>
      </w:r>
      <w:r w:rsidRPr="0024555C">
        <w:rPr>
          <w:rFonts w:ascii="Times New Roman" w:eastAsia="宋体" w:hAnsi="Times New Roman" w:hint="eastAsia"/>
          <w:sz w:val="24"/>
          <w:szCs w:val="24"/>
        </w:rPr>
        <w:t>50</w:t>
      </w:r>
      <w:r w:rsidRPr="0024555C">
        <w:rPr>
          <w:rFonts w:ascii="Times New Roman" w:eastAsia="宋体" w:hAnsi="Times New Roman" w:hint="eastAsia"/>
          <w:sz w:val="24"/>
          <w:szCs w:val="24"/>
        </w:rPr>
        <w:t>万元以下罚款；拒不改正的，处</w:t>
      </w:r>
      <w:r w:rsidRPr="0024555C">
        <w:rPr>
          <w:rFonts w:ascii="Times New Roman" w:eastAsia="宋体" w:hAnsi="Times New Roman" w:hint="eastAsia"/>
          <w:sz w:val="24"/>
          <w:szCs w:val="24"/>
        </w:rPr>
        <w:t>50</w:t>
      </w:r>
      <w:r w:rsidRPr="0024555C">
        <w:rPr>
          <w:rFonts w:ascii="Times New Roman" w:eastAsia="宋体" w:hAnsi="Times New Roman" w:hint="eastAsia"/>
          <w:sz w:val="24"/>
          <w:szCs w:val="24"/>
        </w:rPr>
        <w:t>万元以上</w:t>
      </w:r>
      <w:r w:rsidRPr="0024555C">
        <w:rPr>
          <w:rFonts w:ascii="Times New Roman" w:eastAsia="宋体" w:hAnsi="Times New Roman" w:hint="eastAsia"/>
          <w:sz w:val="24"/>
          <w:szCs w:val="24"/>
        </w:rPr>
        <w:t>100</w:t>
      </w:r>
      <w:r w:rsidRPr="0024555C">
        <w:rPr>
          <w:rFonts w:ascii="Times New Roman" w:eastAsia="宋体" w:hAnsi="Times New Roman" w:hint="eastAsia"/>
          <w:sz w:val="24"/>
          <w:szCs w:val="24"/>
        </w:rPr>
        <w:t>万元以下罚款；构成违反治安管理行为的，由公安机关依法给予治安管理处罚。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第八十一条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食品安全监督管理部门依照食品安全法、本条例对违法单位或者个人处以</w:t>
      </w:r>
      <w:r w:rsidRPr="0024555C">
        <w:rPr>
          <w:rFonts w:ascii="Times New Roman" w:eastAsia="宋体" w:hAnsi="Times New Roman" w:hint="eastAsia"/>
          <w:sz w:val="24"/>
          <w:szCs w:val="24"/>
        </w:rPr>
        <w:t>30</w:t>
      </w:r>
      <w:r w:rsidRPr="0024555C">
        <w:rPr>
          <w:rFonts w:ascii="Times New Roman" w:eastAsia="宋体" w:hAnsi="Times New Roman" w:hint="eastAsia"/>
          <w:sz w:val="24"/>
          <w:szCs w:val="24"/>
        </w:rPr>
        <w:t>万元以上罚款的，由设区的市级以上人民政府食品安全监督管理部门决定。罚款具体处罚权限由国务院食品安全监督管理部门规定。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第八十二条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阻碍食品安全监督管理等部门工作人员依法执行职务，构成违反治安管理行为的，由公安机关依法给予治安管理处罚。</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第八十三条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县级以上人民政府食品安全监督管理等部门发现单位或者个人违反食品安全法第一百二十条第一款规定，编造、散布虚假食品安全信息，涉嫌构成违反治安管理行为的，应当将相关情况通报同级公安机关。</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第八十四条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县级以上人民政府食品安全监督管理部门及其工作人员违法向他人提供网络食品交易第三方平台提供者提供的信息的，依照食品安全法第一百四十五条的规定给予处分。</w:t>
      </w:r>
    </w:p>
    <w:p w:rsidR="008520CD" w:rsidRPr="0024555C" w:rsidRDefault="008520CD" w:rsidP="00596D1F">
      <w:pPr>
        <w:spacing w:line="300" w:lineRule="auto"/>
        <w:ind w:firstLineChars="200" w:firstLine="482"/>
        <w:rPr>
          <w:rFonts w:ascii="Times New Roman" w:eastAsia="宋体" w:hAnsi="Times New Roman"/>
          <w:sz w:val="24"/>
          <w:szCs w:val="24"/>
        </w:rPr>
      </w:pPr>
      <w:r w:rsidRPr="0024555C">
        <w:rPr>
          <w:rFonts w:ascii="Times New Roman" w:eastAsia="宋体" w:hAnsi="Times New Roman" w:hint="eastAsia"/>
          <w:b/>
          <w:sz w:val="24"/>
          <w:szCs w:val="24"/>
        </w:rPr>
        <w:t>第八十五条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违反本条例规定，构成犯罪的，依法追究刑事责任。</w:t>
      </w:r>
    </w:p>
    <w:p w:rsidR="008520CD" w:rsidRPr="0024555C" w:rsidRDefault="008520CD" w:rsidP="00596D1F">
      <w:pPr>
        <w:spacing w:line="300" w:lineRule="auto"/>
        <w:rPr>
          <w:rFonts w:ascii="Times New Roman" w:eastAsia="宋体" w:hAnsi="Times New Roman"/>
          <w:sz w:val="24"/>
          <w:szCs w:val="24"/>
        </w:rPr>
      </w:pPr>
    </w:p>
    <w:p w:rsidR="008520CD" w:rsidRPr="0024555C" w:rsidRDefault="008520CD" w:rsidP="00596D1F">
      <w:pPr>
        <w:spacing w:line="300" w:lineRule="auto"/>
        <w:jc w:val="center"/>
        <w:rPr>
          <w:rFonts w:ascii="Times New Roman" w:eastAsia="宋体" w:hAnsi="Times New Roman"/>
          <w:b/>
          <w:sz w:val="24"/>
          <w:szCs w:val="24"/>
        </w:rPr>
      </w:pPr>
      <w:r w:rsidRPr="0024555C">
        <w:rPr>
          <w:rFonts w:ascii="Times New Roman" w:eastAsia="宋体" w:hAnsi="Times New Roman" w:hint="eastAsia"/>
          <w:b/>
          <w:sz w:val="24"/>
          <w:szCs w:val="24"/>
        </w:rPr>
        <w:t>第十章</w:t>
      </w:r>
      <w:r w:rsidR="00306112" w:rsidRPr="0024555C">
        <w:rPr>
          <w:rFonts w:ascii="Times New Roman" w:eastAsia="宋体" w:hAnsi="Times New Roman" w:hint="eastAsia"/>
          <w:b/>
          <w:sz w:val="24"/>
          <w:szCs w:val="24"/>
        </w:rPr>
        <w:t xml:space="preserve"> </w:t>
      </w:r>
      <w:r w:rsidRPr="0024555C">
        <w:rPr>
          <w:rFonts w:ascii="Times New Roman" w:eastAsia="宋体" w:hAnsi="Times New Roman" w:hint="eastAsia"/>
          <w:b/>
          <w:sz w:val="24"/>
          <w:szCs w:val="24"/>
        </w:rPr>
        <w:t>附</w:t>
      </w:r>
      <w:r w:rsidR="00306112" w:rsidRPr="0024555C">
        <w:rPr>
          <w:rFonts w:ascii="Times New Roman" w:eastAsia="宋体" w:hAnsi="Times New Roman" w:hint="eastAsia"/>
          <w:b/>
          <w:sz w:val="24"/>
          <w:szCs w:val="24"/>
        </w:rPr>
        <w:t xml:space="preserve"> </w:t>
      </w:r>
      <w:r w:rsidR="00306112" w:rsidRPr="0024555C">
        <w:rPr>
          <w:rFonts w:ascii="Times New Roman" w:eastAsia="宋体" w:hAnsi="Times New Roman"/>
          <w:b/>
          <w:sz w:val="24"/>
          <w:szCs w:val="24"/>
        </w:rPr>
        <w:t xml:space="preserve"> </w:t>
      </w:r>
      <w:r w:rsidRPr="0024555C">
        <w:rPr>
          <w:rFonts w:ascii="Times New Roman" w:eastAsia="宋体" w:hAnsi="Times New Roman" w:hint="eastAsia"/>
          <w:b/>
          <w:sz w:val="24"/>
          <w:szCs w:val="24"/>
        </w:rPr>
        <w:t>则</w:t>
      </w:r>
    </w:p>
    <w:p w:rsidR="008520CD" w:rsidRPr="0024555C" w:rsidRDefault="008520CD" w:rsidP="00596D1F">
      <w:pPr>
        <w:spacing w:line="300" w:lineRule="auto"/>
        <w:ind w:firstLineChars="200" w:firstLine="480"/>
        <w:rPr>
          <w:rFonts w:ascii="Times New Roman" w:eastAsia="宋体" w:hAnsi="Times New Roman"/>
          <w:sz w:val="24"/>
          <w:szCs w:val="24"/>
        </w:rPr>
      </w:pPr>
      <w:r w:rsidRPr="0024555C">
        <w:rPr>
          <w:rFonts w:ascii="Times New Roman" w:eastAsia="宋体" w:hAnsi="Times New Roman" w:hint="eastAsia"/>
          <w:sz w:val="24"/>
          <w:szCs w:val="24"/>
        </w:rPr>
        <w:t>第八十六条</w:t>
      </w:r>
      <w:r w:rsidR="00306112" w:rsidRPr="0024555C">
        <w:rPr>
          <w:rFonts w:ascii="Times New Roman" w:eastAsia="宋体" w:hAnsi="Times New Roman" w:hint="eastAsia"/>
          <w:sz w:val="24"/>
          <w:szCs w:val="24"/>
        </w:rPr>
        <w:t xml:space="preserve"> </w:t>
      </w:r>
      <w:r w:rsidRPr="0024555C">
        <w:rPr>
          <w:rFonts w:ascii="Times New Roman" w:eastAsia="宋体" w:hAnsi="Times New Roman" w:hint="eastAsia"/>
          <w:sz w:val="24"/>
          <w:szCs w:val="24"/>
        </w:rPr>
        <w:t>本条例自</w:t>
      </w:r>
      <w:r w:rsidRPr="0024555C">
        <w:rPr>
          <w:rFonts w:ascii="Times New Roman" w:eastAsia="宋体" w:hAnsi="Times New Roman" w:hint="eastAsia"/>
          <w:sz w:val="24"/>
          <w:szCs w:val="24"/>
        </w:rPr>
        <w:t>2019</w:t>
      </w:r>
      <w:r w:rsidRPr="0024555C">
        <w:rPr>
          <w:rFonts w:ascii="Times New Roman" w:eastAsia="宋体" w:hAnsi="Times New Roman" w:hint="eastAsia"/>
          <w:sz w:val="24"/>
          <w:szCs w:val="24"/>
        </w:rPr>
        <w:t>年</w:t>
      </w:r>
      <w:r w:rsidRPr="0024555C">
        <w:rPr>
          <w:rFonts w:ascii="Times New Roman" w:eastAsia="宋体" w:hAnsi="Times New Roman" w:hint="eastAsia"/>
          <w:sz w:val="24"/>
          <w:szCs w:val="24"/>
        </w:rPr>
        <w:t>12</w:t>
      </w:r>
      <w:r w:rsidRPr="0024555C">
        <w:rPr>
          <w:rFonts w:ascii="Times New Roman" w:eastAsia="宋体" w:hAnsi="Times New Roman" w:hint="eastAsia"/>
          <w:sz w:val="24"/>
          <w:szCs w:val="24"/>
        </w:rPr>
        <w:t>月</w:t>
      </w:r>
      <w:r w:rsidRPr="0024555C">
        <w:rPr>
          <w:rFonts w:ascii="Times New Roman" w:eastAsia="宋体" w:hAnsi="Times New Roman" w:hint="eastAsia"/>
          <w:sz w:val="24"/>
          <w:szCs w:val="24"/>
        </w:rPr>
        <w:t>1</w:t>
      </w:r>
      <w:r w:rsidRPr="0024555C">
        <w:rPr>
          <w:rFonts w:ascii="Times New Roman" w:eastAsia="宋体" w:hAnsi="Times New Roman" w:hint="eastAsia"/>
          <w:sz w:val="24"/>
          <w:szCs w:val="24"/>
        </w:rPr>
        <w:t>日起施行。</w:t>
      </w:r>
    </w:p>
    <w:sectPr w:rsidR="008520CD" w:rsidRPr="00245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E6" w:rsidRDefault="00A44AE6" w:rsidP="00D75F48">
      <w:r>
        <w:separator/>
      </w:r>
    </w:p>
  </w:endnote>
  <w:endnote w:type="continuationSeparator" w:id="0">
    <w:p w:rsidR="00A44AE6" w:rsidRDefault="00A44AE6" w:rsidP="00D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E6" w:rsidRDefault="00A44AE6" w:rsidP="00D75F48">
      <w:r>
        <w:separator/>
      </w:r>
    </w:p>
  </w:footnote>
  <w:footnote w:type="continuationSeparator" w:id="0">
    <w:p w:rsidR="00A44AE6" w:rsidRDefault="00A44AE6" w:rsidP="00D75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CD"/>
    <w:rsid w:val="001620C0"/>
    <w:rsid w:val="0024555C"/>
    <w:rsid w:val="002644D2"/>
    <w:rsid w:val="00306112"/>
    <w:rsid w:val="003470D9"/>
    <w:rsid w:val="00347B5E"/>
    <w:rsid w:val="0054790D"/>
    <w:rsid w:val="00596D1F"/>
    <w:rsid w:val="007C429B"/>
    <w:rsid w:val="008520CD"/>
    <w:rsid w:val="00A44AE6"/>
    <w:rsid w:val="00A64AD5"/>
    <w:rsid w:val="00D75F48"/>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5327E-F8BE-474B-805C-AC067B1B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F48"/>
    <w:rPr>
      <w:sz w:val="18"/>
      <w:szCs w:val="18"/>
    </w:rPr>
  </w:style>
  <w:style w:type="paragraph" w:styleId="a4">
    <w:name w:val="footer"/>
    <w:basedOn w:val="a"/>
    <w:link w:val="Char0"/>
    <w:uiPriority w:val="99"/>
    <w:unhideWhenUsed/>
    <w:rsid w:val="00D75F48"/>
    <w:pPr>
      <w:tabs>
        <w:tab w:val="center" w:pos="4153"/>
        <w:tab w:val="right" w:pos="8306"/>
      </w:tabs>
      <w:snapToGrid w:val="0"/>
      <w:jc w:val="left"/>
    </w:pPr>
    <w:rPr>
      <w:sz w:val="18"/>
      <w:szCs w:val="18"/>
    </w:rPr>
  </w:style>
  <w:style w:type="character" w:customStyle="1" w:styleId="Char0">
    <w:name w:val="页脚 Char"/>
    <w:basedOn w:val="a0"/>
    <w:link w:val="a4"/>
    <w:uiPriority w:val="99"/>
    <w:rsid w:val="00D75F48"/>
    <w:rPr>
      <w:sz w:val="18"/>
      <w:szCs w:val="18"/>
    </w:rPr>
  </w:style>
  <w:style w:type="paragraph" w:styleId="a5">
    <w:name w:val="Normal (Web)"/>
    <w:basedOn w:val="a"/>
    <w:uiPriority w:val="99"/>
    <w:unhideWhenUsed/>
    <w:rsid w:val="007C42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6</cp:revision>
  <dcterms:created xsi:type="dcterms:W3CDTF">2019-11-28T00:45:00Z</dcterms:created>
  <dcterms:modified xsi:type="dcterms:W3CDTF">2019-11-28T06:44:00Z</dcterms:modified>
</cp:coreProperties>
</file>