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E1" w:rsidRDefault="009B5EE1" w:rsidP="00A05D4B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9B5EE1" w:rsidRDefault="009B5EE1" w:rsidP="009B5EE1">
      <w:pPr>
        <w:snapToGrid w:val="0"/>
        <w:spacing w:line="500" w:lineRule="exact"/>
        <w:ind w:right="55"/>
        <w:rPr>
          <w:rFonts w:ascii="黑体" w:eastAsia="黑体" w:hAnsi="黑体"/>
          <w:sz w:val="32"/>
          <w:szCs w:val="32"/>
        </w:rPr>
      </w:pPr>
    </w:p>
    <w:p w:rsidR="009B5EE1" w:rsidRPr="009B5EE1" w:rsidRDefault="009B5EE1" w:rsidP="009B5EE1">
      <w:pPr>
        <w:pStyle w:val="1"/>
        <w:widowControl/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B5EE1">
        <w:rPr>
          <w:rFonts w:ascii="方正小标宋简体" w:eastAsia="方正小标宋简体" w:hAnsi="方正小标宋简体" w:cs="方正小标宋简体" w:hint="eastAsia"/>
          <w:sz w:val="44"/>
          <w:szCs w:val="44"/>
        </w:rPr>
        <w:t>YY 0838-2011《微波热凝设备》医疗器械</w:t>
      </w:r>
    </w:p>
    <w:p w:rsidR="009B5EE1" w:rsidRPr="009B5EE1" w:rsidRDefault="009B5EE1" w:rsidP="009B5EE1">
      <w:pPr>
        <w:pStyle w:val="1"/>
        <w:widowControl/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B5EE1">
        <w:rPr>
          <w:rFonts w:ascii="方正小标宋简体" w:eastAsia="方正小标宋简体" w:hAnsi="方正小标宋简体" w:cs="方正小标宋简体" w:hint="eastAsia"/>
          <w:sz w:val="44"/>
          <w:szCs w:val="44"/>
        </w:rPr>
        <w:t>行业标准第1号修改单</w:t>
      </w:r>
    </w:p>
    <w:p w:rsidR="009B5EE1" w:rsidRDefault="009B5EE1" w:rsidP="009B5EE1">
      <w:pPr>
        <w:pStyle w:val="1"/>
        <w:widowControl/>
        <w:spacing w:line="600" w:lineRule="exact"/>
        <w:ind w:firstLineChars="0" w:firstLine="0"/>
        <w:jc w:val="center"/>
        <w:rPr>
          <w:rFonts w:ascii="楷体_GB2312" w:eastAsia="楷体_GB2312"/>
          <w:sz w:val="32"/>
          <w:szCs w:val="28"/>
        </w:rPr>
      </w:pPr>
      <w:r>
        <w:rPr>
          <w:rFonts w:ascii="楷体_GB2312" w:eastAsia="楷体_GB2312" w:hint="eastAsia"/>
          <w:sz w:val="32"/>
          <w:szCs w:val="28"/>
        </w:rPr>
        <w:t>（自发布之日起实施）</w:t>
      </w:r>
    </w:p>
    <w:p w:rsidR="009B5EE1" w:rsidRDefault="009B5EE1" w:rsidP="009B5EE1">
      <w:pPr>
        <w:pStyle w:val="1"/>
        <w:spacing w:line="560" w:lineRule="exact"/>
        <w:ind w:firstLine="640"/>
        <w:jc w:val="center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pStyle w:val="a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一、</w:t>
      </w:r>
      <w:r>
        <w:rPr>
          <w:rFonts w:ascii="Times New Roman" w:hAnsi="Times New Roman" w:cs="Times New Roman"/>
          <w:sz w:val="32"/>
          <w:szCs w:val="32"/>
        </w:rPr>
        <w:t xml:space="preserve">3 </w:t>
      </w:r>
      <w:r>
        <w:rPr>
          <w:rFonts w:ascii="Times New Roman" w:hAnsi="Times New Roman" w:cs="Times New Roman"/>
          <w:sz w:val="32"/>
          <w:szCs w:val="32"/>
        </w:rPr>
        <w:t>术语和定义中增加</w:t>
      </w:r>
    </w:p>
    <w:p w:rsidR="009B5EE1" w:rsidRDefault="009B5EE1" w:rsidP="009B5EE1">
      <w:pPr>
        <w:pStyle w:val="a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3.7 </w:t>
      </w:r>
      <w:r>
        <w:rPr>
          <w:rFonts w:ascii="Times New Roman" w:eastAsia="仿宋_GB2312" w:hAnsi="Times New Roman" w:cs="Times New Roman"/>
          <w:sz w:val="32"/>
          <w:szCs w:val="32"/>
        </w:rPr>
        <w:t>浅表组织热凝设备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superficial organization ablation/coagulation equipment</w:t>
      </w:r>
    </w:p>
    <w:p w:rsidR="009B5EE1" w:rsidRDefault="009B5EE1" w:rsidP="009B5EE1">
      <w:pPr>
        <w:pStyle w:val="a5"/>
        <w:widowControl w:val="0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用于浅表皮肤或开放可直接目视腔道，对增生及病变组织进行凝固治疗的微波热凝设备。</w:t>
      </w:r>
    </w:p>
    <w:p w:rsidR="009B5EE1" w:rsidRDefault="009B5EE1" w:rsidP="009B5EE1">
      <w:pPr>
        <w:pStyle w:val="a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3.8 </w:t>
      </w:r>
      <w:r>
        <w:rPr>
          <w:rFonts w:ascii="Times New Roman" w:eastAsia="仿宋_GB2312" w:hAnsi="Times New Roman" w:cs="Times New Roman"/>
          <w:sz w:val="32"/>
          <w:szCs w:val="32"/>
        </w:rPr>
        <w:t>体内组织热凝设备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intracorporal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 xml:space="preserve"> organization ablation/coagulation equipment</w:t>
      </w:r>
    </w:p>
    <w:p w:rsidR="009B5EE1" w:rsidRDefault="009B5EE1" w:rsidP="009B5EE1">
      <w:pPr>
        <w:pStyle w:val="a5"/>
        <w:widowControl w:val="0"/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在影像等辅助设备引导下，用于对体内或非目视腔道增生及病变组织进行凝固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消融治疗的微波热凝设备。</w:t>
      </w:r>
    </w:p>
    <w:p w:rsidR="009B5EE1" w:rsidRDefault="009B5EE1" w:rsidP="009B5EE1">
      <w:pPr>
        <w:pStyle w:val="a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3.9 </w:t>
      </w:r>
      <w:r>
        <w:rPr>
          <w:rFonts w:ascii="Times New Roman" w:eastAsia="仿宋_GB2312" w:hAnsi="Times New Roman" w:cs="Times New Roman"/>
          <w:sz w:val="32"/>
          <w:szCs w:val="32"/>
        </w:rPr>
        <w:t>前列腺热凝设备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prostate ablation/coagulation equipment</w:t>
      </w:r>
    </w:p>
    <w:p w:rsidR="009B5EE1" w:rsidRDefault="009B5EE1" w:rsidP="009B5EE1">
      <w:pPr>
        <w:pStyle w:val="a5"/>
        <w:widowControl w:val="0"/>
        <w:spacing w:line="560" w:lineRule="exact"/>
        <w:ind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通过使用前列腺热凝器对前列腺良性增生组织进行凝固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消融的微波热凝设备。</w:t>
      </w:r>
    </w:p>
    <w:p w:rsidR="009B5EE1" w:rsidRDefault="009B5EE1" w:rsidP="009B5EE1">
      <w:pPr>
        <w:pStyle w:val="a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二、</w:t>
      </w:r>
      <w:r>
        <w:rPr>
          <w:rFonts w:ascii="Times New Roman" w:hAnsi="Times New Roman" w:cs="Times New Roman"/>
          <w:sz w:val="32"/>
          <w:szCs w:val="32"/>
        </w:rPr>
        <w:t xml:space="preserve">5.5 </w:t>
      </w:r>
      <w:r>
        <w:rPr>
          <w:rFonts w:ascii="Times New Roman" w:hAnsi="Times New Roman" w:cs="Times New Roman"/>
          <w:sz w:val="32"/>
          <w:szCs w:val="32"/>
        </w:rPr>
        <w:t>功率调节中</w:t>
      </w:r>
    </w:p>
    <w:p w:rsidR="009B5EE1" w:rsidRDefault="009B5EE1" w:rsidP="009B5EE1">
      <w:pPr>
        <w:pStyle w:val="a0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设备必须装有输出控制装置，能使功率输出减少到等于或小于最大输出功率的</w:t>
      </w:r>
      <w:r>
        <w:rPr>
          <w:rFonts w:ascii="Times New Roman" w:eastAsia="仿宋_GB2312" w:hAnsi="Times New Roman" w:cs="Times New Roman"/>
          <w:sz w:val="32"/>
          <w:szCs w:val="32"/>
        </w:rPr>
        <w:t>20%</w:t>
      </w:r>
      <w:r>
        <w:rPr>
          <w:rFonts w:ascii="Times New Roman" w:eastAsia="仿宋_GB2312" w:hAnsi="Times New Roman" w:cs="Times New Roman"/>
          <w:sz w:val="32"/>
          <w:szCs w:val="32"/>
        </w:rPr>
        <w:t>或者</w:t>
      </w:r>
      <w:r>
        <w:rPr>
          <w:rFonts w:ascii="Times New Roman" w:eastAsia="仿宋_GB2312" w:hAnsi="Times New Roman" w:cs="Times New Roman"/>
          <w:sz w:val="32"/>
          <w:szCs w:val="32"/>
        </w:rPr>
        <w:t>10W</w:t>
      </w:r>
      <w:r>
        <w:rPr>
          <w:rFonts w:ascii="Times New Roman" w:eastAsia="仿宋_GB2312" w:hAnsi="Times New Roman" w:cs="Times New Roman"/>
          <w:sz w:val="32"/>
          <w:szCs w:val="32"/>
        </w:rPr>
        <w:t>，两者取较小值。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修改为：</w:t>
      </w:r>
      <w:r>
        <w:rPr>
          <w:rFonts w:ascii="Times New Roman" w:eastAsia="仿宋_GB2312" w:hAnsi="Times New Roman" w:cs="Times New Roman"/>
          <w:sz w:val="32"/>
          <w:szCs w:val="32"/>
        </w:rPr>
        <w:t>“5.5.1</w:t>
      </w:r>
      <w:r>
        <w:rPr>
          <w:rFonts w:ascii="Times New Roman" w:eastAsia="仿宋_GB2312" w:hAnsi="Times New Roman" w:cs="Times New Roman"/>
          <w:sz w:val="32"/>
          <w:szCs w:val="32"/>
        </w:rPr>
        <w:t>浅表组织热凝设备输出过程中，不应提供功率调节功能；</w:t>
      </w:r>
      <w:r>
        <w:rPr>
          <w:rFonts w:ascii="Times New Roman" w:eastAsia="仿宋_GB2312" w:hAnsi="Times New Roman" w:cs="Times New Roman"/>
          <w:sz w:val="32"/>
          <w:szCs w:val="32"/>
        </w:rPr>
        <w:t>5.5.2</w:t>
      </w:r>
      <w:r>
        <w:rPr>
          <w:rFonts w:ascii="Times New Roman" w:eastAsia="仿宋_GB2312" w:hAnsi="Times New Roman" w:cs="Times New Roman"/>
          <w:sz w:val="32"/>
          <w:szCs w:val="32"/>
        </w:rPr>
        <w:t>前列腺热凝设备在输出状态不应提供手动调节功能；</w:t>
      </w:r>
      <w:r>
        <w:rPr>
          <w:rFonts w:ascii="Times New Roman" w:eastAsia="仿宋_GB2312" w:hAnsi="Times New Roman" w:cs="Times New Roman"/>
          <w:sz w:val="32"/>
          <w:szCs w:val="32"/>
        </w:rPr>
        <w:t>5.5.3</w:t>
      </w:r>
      <w:r>
        <w:rPr>
          <w:rFonts w:ascii="Times New Roman" w:eastAsia="仿宋_GB2312" w:hAnsi="Times New Roman" w:cs="Times New Roman"/>
          <w:sz w:val="32"/>
          <w:szCs w:val="32"/>
        </w:rPr>
        <w:t>前列腺热凝设备应提供输出状态紧急停止微波输出的功能。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9B5EE1" w:rsidRDefault="009B5EE1" w:rsidP="009B5EE1">
      <w:pPr>
        <w:pStyle w:val="a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三、</w:t>
      </w:r>
      <w:r>
        <w:rPr>
          <w:rFonts w:ascii="Times New Roman" w:hAnsi="Times New Roman" w:cs="Times New Roman"/>
          <w:sz w:val="32"/>
          <w:szCs w:val="32"/>
        </w:rPr>
        <w:t xml:space="preserve">5.6 </w:t>
      </w:r>
      <w:r>
        <w:rPr>
          <w:rFonts w:ascii="Times New Roman" w:hAnsi="Times New Roman" w:cs="Times New Roman"/>
          <w:sz w:val="32"/>
          <w:szCs w:val="32"/>
        </w:rPr>
        <w:t>测温中</w:t>
      </w:r>
    </w:p>
    <w:p w:rsidR="009B5EE1" w:rsidRDefault="009B5EE1" w:rsidP="009B5EE1">
      <w:pPr>
        <w:pStyle w:val="a0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介入热凝设备必须有不少于两路的测温功能，测温范围由生产商规定，测温误差不超过</w:t>
      </w:r>
      <w:r>
        <w:rPr>
          <w:rFonts w:ascii="Times New Roman" w:eastAsia="仿宋_GB2312" w:hAnsi="Times New Roman" w:cs="Times New Roman"/>
          <w:sz w:val="32"/>
          <w:szCs w:val="32"/>
        </w:rPr>
        <w:t>±0.5</w:t>
      </w:r>
      <w:r>
        <w:rPr>
          <w:rFonts w:ascii="宋体" w:eastAsia="宋体" w:hAnsi="宋体" w:cs="宋体" w:hint="eastAsia"/>
          <w:sz w:val="32"/>
          <w:szCs w:val="32"/>
        </w:rPr>
        <w:t>℃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修改为：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前列腺热凝设备应有直肠测温功能，能够测量和前列腺接触的直肠温度，测温范围应由制造商规定，测温误差应不超过</w:t>
      </w:r>
      <w:r>
        <w:rPr>
          <w:rFonts w:ascii="Times New Roman" w:eastAsia="仿宋_GB2312" w:hAnsi="Times New Roman" w:cs="Times New Roman"/>
          <w:sz w:val="32"/>
          <w:szCs w:val="32"/>
        </w:rPr>
        <w:t>±0.5</w:t>
      </w:r>
      <w:r>
        <w:rPr>
          <w:rFonts w:ascii="宋体" w:eastAsia="宋体" w:hAnsi="宋体" w:cs="宋体" w:hint="eastAsia"/>
          <w:sz w:val="32"/>
          <w:szCs w:val="32"/>
        </w:rPr>
        <w:t>℃</w:t>
      </w:r>
      <w:r>
        <w:rPr>
          <w:rFonts w:ascii="Times New Roman" w:eastAsia="仿宋_GB2312" w:hAnsi="Times New Roman" w:cs="Times New Roman"/>
          <w:sz w:val="32"/>
          <w:szCs w:val="32"/>
        </w:rPr>
        <w:t>；体内组织热凝设备若有组织测温功能，测温范围应由制造商规定，测温误差应不超过</w:t>
      </w:r>
      <w:r>
        <w:rPr>
          <w:rFonts w:ascii="Times New Roman" w:eastAsia="仿宋_GB2312" w:hAnsi="Times New Roman" w:cs="Times New Roman"/>
          <w:sz w:val="32"/>
          <w:szCs w:val="32"/>
        </w:rPr>
        <w:t>±1.5</w:t>
      </w:r>
      <w:r>
        <w:rPr>
          <w:rFonts w:ascii="宋体" w:eastAsia="宋体" w:hAnsi="宋体" w:cs="宋体" w:hint="eastAsia"/>
          <w:sz w:val="32"/>
          <w:szCs w:val="32"/>
        </w:rPr>
        <w:t>℃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9B5EE1" w:rsidRDefault="009B5EE1" w:rsidP="009B5EE1">
      <w:pPr>
        <w:pStyle w:val="a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四、</w:t>
      </w:r>
      <w:r>
        <w:rPr>
          <w:rFonts w:ascii="Times New Roman" w:hAnsi="Times New Roman" w:cs="Times New Roman"/>
          <w:sz w:val="32"/>
          <w:szCs w:val="32"/>
        </w:rPr>
        <w:t xml:space="preserve">5.7 </w:t>
      </w:r>
      <w:r>
        <w:rPr>
          <w:rFonts w:ascii="Times New Roman" w:hAnsi="Times New Roman" w:cs="Times New Roman"/>
          <w:sz w:val="32"/>
          <w:szCs w:val="32"/>
        </w:rPr>
        <w:t>控温中</w:t>
      </w:r>
    </w:p>
    <w:p w:rsidR="009B5EE1" w:rsidRDefault="009B5EE1" w:rsidP="009B5EE1">
      <w:pPr>
        <w:pStyle w:val="a0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介入热凝设备必须有控温功能，控温范围由生产商规定，控温误差不超过设定温度的</w:t>
      </w:r>
      <w:r>
        <w:rPr>
          <w:rFonts w:ascii="Times New Roman" w:eastAsia="仿宋_GB2312" w:hAnsi="Times New Roman" w:cs="Times New Roman"/>
          <w:sz w:val="32"/>
          <w:szCs w:val="32"/>
        </w:rPr>
        <w:t>±3%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修改为：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前列腺热凝设备应有组织控温功能；控温范围由制造商规定，控温误差应不超过设定温度的</w:t>
      </w:r>
      <w:r>
        <w:rPr>
          <w:rFonts w:ascii="Times New Roman" w:eastAsia="仿宋_GB2312" w:hAnsi="Times New Roman" w:cs="Times New Roman"/>
          <w:sz w:val="32"/>
          <w:szCs w:val="32"/>
        </w:rPr>
        <w:t>±3%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9B5EE1" w:rsidRDefault="009B5EE1" w:rsidP="009B5EE1">
      <w:pPr>
        <w:pStyle w:val="a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五、</w:t>
      </w:r>
      <w:r>
        <w:rPr>
          <w:rFonts w:ascii="Times New Roman" w:hAnsi="Times New Roman" w:cs="Times New Roman"/>
          <w:sz w:val="32"/>
          <w:szCs w:val="32"/>
        </w:rPr>
        <w:t xml:space="preserve">5.11 </w:t>
      </w:r>
      <w:r>
        <w:rPr>
          <w:rFonts w:ascii="Times New Roman" w:hAnsi="Times New Roman" w:cs="Times New Roman"/>
          <w:sz w:val="32"/>
          <w:szCs w:val="32"/>
        </w:rPr>
        <w:t>脚踏开关中</w:t>
      </w:r>
    </w:p>
    <w:p w:rsidR="009B5EE1" w:rsidRDefault="009B5EE1" w:rsidP="009B5EE1">
      <w:pPr>
        <w:pStyle w:val="a0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脚踏开关必须满足以下要求，脚踏开关的安全性按</w:t>
      </w:r>
      <w:r>
        <w:rPr>
          <w:rFonts w:ascii="Times New Roman" w:eastAsia="仿宋_GB2312" w:hAnsi="Times New Roman" w:cs="Times New Roman"/>
          <w:sz w:val="32"/>
          <w:szCs w:val="32"/>
        </w:rPr>
        <w:t>GB 9706.1- 2007</w:t>
      </w:r>
      <w:r>
        <w:rPr>
          <w:rFonts w:ascii="Times New Roman" w:eastAsia="仿宋_GB2312" w:hAnsi="Times New Roman" w:cs="Times New Roman"/>
          <w:sz w:val="32"/>
          <w:szCs w:val="32"/>
        </w:rPr>
        <w:t>与设备一起进行评估。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5.11.1 </w:t>
      </w:r>
      <w:r>
        <w:rPr>
          <w:rFonts w:ascii="Times New Roman" w:eastAsia="仿宋_GB2312" w:hAnsi="Times New Roman" w:cs="Times New Roman"/>
          <w:sz w:val="32"/>
          <w:szCs w:val="32"/>
        </w:rPr>
        <w:t>防水要求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手术室使用设备的脚踏开关必须满足</w:t>
      </w:r>
      <w:r>
        <w:rPr>
          <w:rFonts w:ascii="Times New Roman" w:eastAsia="仿宋_GB2312" w:hAnsi="Times New Roman" w:cs="Times New Roman"/>
          <w:sz w:val="32"/>
          <w:szCs w:val="32"/>
        </w:rPr>
        <w:t>YY 91057-1999</w:t>
      </w:r>
      <w:r>
        <w:rPr>
          <w:rFonts w:ascii="Times New Roman" w:eastAsia="仿宋_GB2312" w:hAnsi="Times New Roman" w:cs="Times New Roman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</w:rPr>
        <w:t>2.2.2</w:t>
      </w:r>
      <w:r>
        <w:rPr>
          <w:rFonts w:ascii="Times New Roman" w:eastAsia="仿宋_GB2312" w:hAnsi="Times New Roman" w:cs="Times New Roman"/>
          <w:sz w:val="32"/>
          <w:szCs w:val="32"/>
        </w:rPr>
        <w:t>的要求，其他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设备脚踏开关必须满足</w:t>
      </w:r>
      <w:r>
        <w:rPr>
          <w:rFonts w:ascii="Times New Roman" w:eastAsia="仿宋_GB2312" w:hAnsi="Times New Roman" w:cs="Times New Roman"/>
          <w:sz w:val="32"/>
          <w:szCs w:val="32"/>
        </w:rPr>
        <w:t>YY 91057-1999</w:t>
      </w:r>
      <w:r>
        <w:rPr>
          <w:rFonts w:ascii="Times New Roman" w:eastAsia="仿宋_GB2312" w:hAnsi="Times New Roman" w:cs="Times New Roman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</w:rPr>
        <w:t>2.2.1</w:t>
      </w:r>
      <w:r>
        <w:rPr>
          <w:rFonts w:ascii="Times New Roman" w:eastAsia="仿宋_GB2312" w:hAnsi="Times New Roman" w:cs="Times New Roman"/>
          <w:sz w:val="32"/>
          <w:szCs w:val="32"/>
        </w:rPr>
        <w:t>的要求。</w:t>
      </w:r>
      <w:r>
        <w:rPr>
          <w:rFonts w:ascii="Times New Roman" w:eastAsia="仿宋_GB2312" w:hAnsi="Times New Roman" w:cs="Times New Roman"/>
          <w:sz w:val="32"/>
          <w:szCs w:val="32"/>
        </w:rPr>
        <w:t>5.11.2</w:t>
      </w:r>
      <w:r>
        <w:rPr>
          <w:rFonts w:ascii="Times New Roman" w:eastAsia="仿宋_GB2312" w:hAnsi="Times New Roman" w:cs="Times New Roman"/>
          <w:sz w:val="32"/>
          <w:szCs w:val="32"/>
        </w:rPr>
        <w:t>启动力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脚踏开关的启动力应满足</w:t>
      </w:r>
      <w:r>
        <w:rPr>
          <w:rFonts w:ascii="Times New Roman" w:eastAsia="仿宋_GB2312" w:hAnsi="Times New Roman" w:cs="Times New Roman"/>
          <w:sz w:val="32"/>
          <w:szCs w:val="32"/>
        </w:rPr>
        <w:t>YY 91057-1999</w:t>
      </w:r>
      <w:r>
        <w:rPr>
          <w:rFonts w:ascii="Times New Roman" w:eastAsia="仿宋_GB2312" w:hAnsi="Times New Roman" w:cs="Times New Roman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</w:rPr>
        <w:t>2.4</w:t>
      </w:r>
      <w:r>
        <w:rPr>
          <w:rFonts w:ascii="Times New Roman" w:eastAsia="仿宋_GB2312" w:hAnsi="Times New Roman" w:cs="Times New Roman"/>
          <w:sz w:val="32"/>
          <w:szCs w:val="32"/>
        </w:rPr>
        <w:t>的要求。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5.11.3 </w:t>
      </w:r>
      <w:r>
        <w:rPr>
          <w:rFonts w:ascii="Times New Roman" w:eastAsia="仿宋_GB2312" w:hAnsi="Times New Roman" w:cs="Times New Roman"/>
          <w:sz w:val="32"/>
          <w:szCs w:val="32"/>
        </w:rPr>
        <w:t>操作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脚踏开关的操作应满足</w:t>
      </w:r>
      <w:r>
        <w:rPr>
          <w:rFonts w:ascii="Times New Roman" w:eastAsia="仿宋_GB2312" w:hAnsi="Times New Roman" w:cs="Times New Roman"/>
          <w:sz w:val="32"/>
          <w:szCs w:val="32"/>
        </w:rPr>
        <w:t>YY 91057-1999</w:t>
      </w:r>
      <w:r>
        <w:rPr>
          <w:rFonts w:ascii="Times New Roman" w:eastAsia="仿宋_GB2312" w:hAnsi="Times New Roman" w:cs="Times New Roman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</w:rPr>
        <w:t>2.5</w:t>
      </w:r>
      <w:r>
        <w:rPr>
          <w:rFonts w:ascii="Times New Roman" w:eastAsia="仿宋_GB2312" w:hAnsi="Times New Roman" w:cs="Times New Roman"/>
          <w:sz w:val="32"/>
          <w:szCs w:val="32"/>
        </w:rPr>
        <w:t>的要求。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5.11.4 </w:t>
      </w:r>
      <w:r>
        <w:rPr>
          <w:rFonts w:ascii="Times New Roman" w:eastAsia="仿宋_GB2312" w:hAnsi="Times New Roman" w:cs="Times New Roman"/>
          <w:sz w:val="32"/>
          <w:szCs w:val="32"/>
        </w:rPr>
        <w:t>结构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脚踏开关的结构应满足</w:t>
      </w:r>
      <w:r>
        <w:rPr>
          <w:rFonts w:ascii="Times New Roman" w:eastAsia="仿宋_GB2312" w:hAnsi="Times New Roman" w:cs="Times New Roman"/>
          <w:sz w:val="32"/>
          <w:szCs w:val="32"/>
        </w:rPr>
        <w:t>YY 91057-1999</w:t>
      </w:r>
      <w:r>
        <w:rPr>
          <w:rFonts w:ascii="Times New Roman" w:eastAsia="仿宋_GB2312" w:hAnsi="Times New Roman" w:cs="Times New Roman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</w:rPr>
        <w:t>2.6</w:t>
      </w:r>
      <w:r>
        <w:rPr>
          <w:rFonts w:ascii="Times New Roman" w:eastAsia="仿宋_GB2312" w:hAnsi="Times New Roman" w:cs="Times New Roman"/>
          <w:sz w:val="32"/>
          <w:szCs w:val="32"/>
        </w:rPr>
        <w:t>的要求。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5.11.5 </w:t>
      </w:r>
      <w:r>
        <w:rPr>
          <w:rFonts w:ascii="Times New Roman" w:eastAsia="仿宋_GB2312" w:hAnsi="Times New Roman" w:cs="Times New Roman"/>
          <w:sz w:val="32"/>
          <w:szCs w:val="32"/>
        </w:rPr>
        <w:t>寿命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脚踏开关的寿命应满足</w:t>
      </w:r>
      <w:r>
        <w:rPr>
          <w:rFonts w:ascii="Times New Roman" w:eastAsia="仿宋_GB2312" w:hAnsi="Times New Roman" w:cs="Times New Roman"/>
          <w:sz w:val="32"/>
          <w:szCs w:val="32"/>
        </w:rPr>
        <w:t>YY 91057-1999</w:t>
      </w:r>
      <w:r>
        <w:rPr>
          <w:rFonts w:ascii="Times New Roman" w:eastAsia="仿宋_GB2312" w:hAnsi="Times New Roman" w:cs="Times New Roman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</w:rPr>
        <w:t>2.7</w:t>
      </w:r>
      <w:r>
        <w:rPr>
          <w:rFonts w:ascii="Times New Roman" w:eastAsia="仿宋_GB2312" w:hAnsi="Times New Roman" w:cs="Times New Roman"/>
          <w:sz w:val="32"/>
          <w:szCs w:val="32"/>
        </w:rPr>
        <w:t>的要求。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5.11.6 </w:t>
      </w:r>
      <w:r>
        <w:rPr>
          <w:rFonts w:ascii="Times New Roman" w:eastAsia="仿宋_GB2312" w:hAnsi="Times New Roman" w:cs="Times New Roman"/>
          <w:sz w:val="32"/>
          <w:szCs w:val="32"/>
        </w:rPr>
        <w:t>导线的连接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脚踏开关的导线的连接应满足</w:t>
      </w:r>
      <w:r>
        <w:rPr>
          <w:rFonts w:ascii="Times New Roman" w:eastAsia="仿宋_GB2312" w:hAnsi="Times New Roman" w:cs="Times New Roman"/>
          <w:sz w:val="32"/>
          <w:szCs w:val="32"/>
        </w:rPr>
        <w:t>YY 91057-1999</w:t>
      </w:r>
      <w:r>
        <w:rPr>
          <w:rFonts w:ascii="Times New Roman" w:eastAsia="仿宋_GB2312" w:hAnsi="Times New Roman" w:cs="Times New Roman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</w:rPr>
        <w:t>2.8</w:t>
      </w:r>
      <w:r>
        <w:rPr>
          <w:rFonts w:ascii="Times New Roman" w:eastAsia="仿宋_GB2312" w:hAnsi="Times New Roman" w:cs="Times New Roman"/>
          <w:sz w:val="32"/>
          <w:szCs w:val="32"/>
        </w:rPr>
        <w:t>的要求。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5.11.7 </w:t>
      </w:r>
      <w:r>
        <w:rPr>
          <w:rFonts w:ascii="Times New Roman" w:eastAsia="仿宋_GB2312" w:hAnsi="Times New Roman" w:cs="Times New Roman"/>
          <w:sz w:val="32"/>
          <w:szCs w:val="32"/>
        </w:rPr>
        <w:t>平稳性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脚踏开关的平稳性应满足</w:t>
      </w:r>
      <w:r>
        <w:rPr>
          <w:rFonts w:ascii="Times New Roman" w:eastAsia="仿宋_GB2312" w:hAnsi="Times New Roman" w:cs="Times New Roman"/>
          <w:sz w:val="32"/>
          <w:szCs w:val="32"/>
        </w:rPr>
        <w:t>YY 91057-1999</w:t>
      </w:r>
      <w:r>
        <w:rPr>
          <w:rFonts w:ascii="Times New Roman" w:eastAsia="仿宋_GB2312" w:hAnsi="Times New Roman" w:cs="Times New Roman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</w:rPr>
        <w:t>2.9</w:t>
      </w:r>
      <w:r>
        <w:rPr>
          <w:rFonts w:ascii="Times New Roman" w:eastAsia="仿宋_GB2312" w:hAnsi="Times New Roman" w:cs="Times New Roman"/>
          <w:sz w:val="32"/>
          <w:szCs w:val="32"/>
        </w:rPr>
        <w:t>的要求。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修改为：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配脚踏开关的设备，脚踏开关应符合</w:t>
      </w:r>
      <w:r>
        <w:rPr>
          <w:rFonts w:ascii="Times New Roman" w:eastAsia="仿宋_GB2312" w:hAnsi="Times New Roman" w:cs="Times New Roman"/>
          <w:sz w:val="32"/>
          <w:szCs w:val="32"/>
        </w:rPr>
        <w:t>YY 1057</w:t>
      </w:r>
      <w:r>
        <w:rPr>
          <w:rFonts w:ascii="Times New Roman" w:eastAsia="仿宋_GB2312" w:hAnsi="Times New Roman" w:cs="Times New Roman"/>
          <w:sz w:val="32"/>
          <w:szCs w:val="32"/>
        </w:rPr>
        <w:t>中的要求。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9B5EE1" w:rsidRDefault="009B5EE1" w:rsidP="009B5EE1">
      <w:pPr>
        <w:pStyle w:val="a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六、</w:t>
      </w:r>
      <w:r>
        <w:rPr>
          <w:rFonts w:ascii="Times New Roman" w:hAnsi="Times New Roman" w:cs="Times New Roman"/>
          <w:sz w:val="32"/>
          <w:szCs w:val="32"/>
        </w:rPr>
        <w:t xml:space="preserve">5.12.11 </w:t>
      </w:r>
      <w:r>
        <w:rPr>
          <w:rFonts w:ascii="Times New Roman" w:hAnsi="Times New Roman" w:cs="Times New Roman"/>
          <w:sz w:val="32"/>
          <w:szCs w:val="32"/>
        </w:rPr>
        <w:t>微波辐射</w:t>
      </w:r>
      <w:r>
        <w:rPr>
          <w:rFonts w:ascii="Times New Roman" w:hAnsi="Times New Roman" w:cs="Times New Roman"/>
          <w:sz w:val="32"/>
          <w:szCs w:val="32"/>
        </w:rPr>
        <w:t xml:space="preserve"> 31.1</w:t>
      </w:r>
      <w:r>
        <w:rPr>
          <w:rFonts w:ascii="Times New Roman" w:hAnsi="Times New Roman" w:cs="Times New Roman"/>
          <w:sz w:val="32"/>
          <w:szCs w:val="32"/>
        </w:rPr>
        <w:t>无用辐射中</w:t>
      </w:r>
    </w:p>
    <w:p w:rsidR="009B5EE1" w:rsidRDefault="009B5EE1" w:rsidP="009B5EE1">
      <w:pPr>
        <w:pStyle w:val="a0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热凝设备功率设定为</w:t>
      </w:r>
      <w:r>
        <w:rPr>
          <w:rFonts w:ascii="Times New Roman" w:eastAsia="仿宋_GB2312" w:hAnsi="Times New Roman" w:cs="Times New Roman"/>
          <w:sz w:val="32"/>
          <w:szCs w:val="32"/>
        </w:rPr>
        <w:t>60 W</w:t>
      </w:r>
      <w:r>
        <w:rPr>
          <w:rFonts w:ascii="Times New Roman" w:eastAsia="仿宋_GB2312" w:hAnsi="Times New Roman" w:cs="Times New Roman"/>
          <w:sz w:val="32"/>
          <w:szCs w:val="32"/>
        </w:rPr>
        <w:t>，热凝器头部置于</w:t>
      </w:r>
      <w:r>
        <w:rPr>
          <w:rFonts w:ascii="Times New Roman" w:eastAsia="仿宋_GB2312" w:hAnsi="Times New Roman" w:cs="Times New Roman"/>
          <w:sz w:val="32"/>
          <w:szCs w:val="32"/>
        </w:rPr>
        <w:t>0.9%</w:t>
      </w:r>
      <w:r>
        <w:rPr>
          <w:rFonts w:ascii="Times New Roman" w:eastAsia="仿宋_GB2312" w:hAnsi="Times New Roman" w:cs="Times New Roman"/>
          <w:sz w:val="32"/>
          <w:szCs w:val="32"/>
        </w:rPr>
        <w:t>的生理盐水中</w:t>
      </w:r>
      <w:r>
        <w:rPr>
          <w:rFonts w:ascii="Times New Roman" w:eastAsia="仿宋_GB2312" w:hAnsi="Times New Roman" w:cs="Times New Roman"/>
          <w:sz w:val="32"/>
          <w:szCs w:val="32"/>
        </w:rPr>
        <w:t>1 mm</w:t>
      </w:r>
      <w:r>
        <w:rPr>
          <w:rFonts w:ascii="Times New Roman" w:eastAsia="仿宋_GB2312" w:hAnsi="Times New Roman" w:cs="Times New Roman"/>
          <w:sz w:val="32"/>
          <w:szCs w:val="32"/>
        </w:rPr>
        <w:t>～</w:t>
      </w:r>
      <w:r>
        <w:rPr>
          <w:rFonts w:ascii="Times New Roman" w:eastAsia="仿宋_GB2312" w:hAnsi="Times New Roman" w:cs="Times New Roman"/>
          <w:sz w:val="32"/>
          <w:szCs w:val="32"/>
        </w:rPr>
        <w:t>2 mm</w:t>
      </w:r>
      <w:r>
        <w:rPr>
          <w:rFonts w:ascii="Times New Roman" w:eastAsia="仿宋_GB2312" w:hAnsi="Times New Roman" w:cs="Times New Roman"/>
          <w:sz w:val="32"/>
          <w:szCs w:val="32"/>
        </w:rPr>
        <w:t>，热凝器与水平面夹角为</w:t>
      </w:r>
      <w:r>
        <w:rPr>
          <w:rFonts w:ascii="Times New Roman" w:eastAsia="仿宋_GB2312" w:hAnsi="Times New Roman" w:cs="Times New Roman"/>
          <w:sz w:val="32"/>
          <w:szCs w:val="32"/>
        </w:rPr>
        <w:t>45°</w:t>
      </w:r>
      <w:r>
        <w:rPr>
          <w:rFonts w:ascii="Times New Roman" w:eastAsia="仿宋_GB2312" w:hAnsi="Times New Roman" w:cs="Times New Roman"/>
          <w:sz w:val="32"/>
          <w:szCs w:val="32"/>
        </w:rPr>
        <w:t>，启动功率输出，在距离热凝器头部</w:t>
      </w:r>
      <w:r>
        <w:rPr>
          <w:rFonts w:ascii="Times New Roman" w:eastAsia="仿宋_GB2312" w:hAnsi="Times New Roman" w:cs="Times New Roman"/>
          <w:sz w:val="32"/>
          <w:szCs w:val="32"/>
        </w:rPr>
        <w:t>25 cm</w:t>
      </w:r>
      <w:r>
        <w:rPr>
          <w:rFonts w:ascii="Times New Roman" w:eastAsia="仿宋_GB2312" w:hAnsi="Times New Roman" w:cs="Times New Roman"/>
          <w:sz w:val="32"/>
          <w:szCs w:val="32"/>
        </w:rPr>
        <w:t>的任意点测量无用辐射。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修改为：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按照说明书规定的典型使用方法（包括热凝器倾斜角度、插入组织深度等），使用制造商推荐体膜或生理盐水（</w:t>
      </w:r>
      <w:r>
        <w:rPr>
          <w:rFonts w:ascii="Times New Roman" w:eastAsia="仿宋_GB2312" w:hAnsi="Times New Roman" w:cs="Times New Roman"/>
          <w:sz w:val="32"/>
          <w:szCs w:val="32"/>
        </w:rPr>
        <w:t>0.9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%</w:t>
      </w:r>
      <w:r>
        <w:rPr>
          <w:rFonts w:ascii="Times New Roman" w:eastAsia="仿宋_GB2312" w:hAnsi="Times New Roman" w:cs="Times New Roman"/>
          <w:sz w:val="32"/>
          <w:szCs w:val="32"/>
        </w:rPr>
        <w:t>），功率设为热凝器最大允许功率，在距离热凝器头部</w:t>
      </w:r>
      <w:r>
        <w:rPr>
          <w:rFonts w:ascii="Times New Roman" w:eastAsia="仿宋_GB2312" w:hAnsi="Times New Roman" w:cs="Times New Roman"/>
          <w:sz w:val="32"/>
          <w:szCs w:val="32"/>
        </w:rPr>
        <w:t>25cm</w:t>
      </w:r>
      <w:r>
        <w:rPr>
          <w:rFonts w:ascii="Times New Roman" w:eastAsia="仿宋_GB2312" w:hAnsi="Times New Roman" w:cs="Times New Roman"/>
          <w:sz w:val="32"/>
          <w:szCs w:val="32"/>
        </w:rPr>
        <w:t>处的任意点，测量微波功率密度。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9B5EE1" w:rsidRDefault="009B5EE1" w:rsidP="009B5EE1">
      <w:pPr>
        <w:pStyle w:val="a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七、</w:t>
      </w:r>
      <w:r>
        <w:rPr>
          <w:rFonts w:ascii="Times New Roman" w:hAnsi="Times New Roman" w:cs="Times New Roman"/>
          <w:sz w:val="32"/>
          <w:szCs w:val="32"/>
        </w:rPr>
        <w:t xml:space="preserve">6.5 </w:t>
      </w:r>
      <w:r>
        <w:rPr>
          <w:rFonts w:ascii="Times New Roman" w:hAnsi="Times New Roman" w:cs="Times New Roman"/>
          <w:sz w:val="32"/>
          <w:szCs w:val="32"/>
        </w:rPr>
        <w:t>功率调节中</w:t>
      </w:r>
    </w:p>
    <w:p w:rsidR="009B5EE1" w:rsidRDefault="009B5EE1" w:rsidP="009B5EE1">
      <w:pPr>
        <w:pStyle w:val="a0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通过功能验证及按</w:t>
      </w:r>
      <w:r>
        <w:rPr>
          <w:rFonts w:ascii="Times New Roman" w:eastAsia="仿宋_GB2312" w:hAnsi="Times New Roman" w:cs="Times New Roman"/>
          <w:sz w:val="32"/>
          <w:szCs w:val="32"/>
        </w:rPr>
        <w:t>5.12.14</w:t>
      </w:r>
      <w:r>
        <w:rPr>
          <w:rFonts w:ascii="Times New Roman" w:eastAsia="仿宋_GB2312" w:hAnsi="Times New Roman" w:cs="Times New Roman"/>
          <w:sz w:val="32"/>
          <w:szCs w:val="32"/>
        </w:rPr>
        <w:t>规定进行测量，应符合</w:t>
      </w:r>
      <w:r>
        <w:rPr>
          <w:rFonts w:ascii="Times New Roman" w:eastAsia="仿宋_GB2312" w:hAnsi="Times New Roman" w:cs="Times New Roman"/>
          <w:sz w:val="32"/>
          <w:szCs w:val="32"/>
        </w:rPr>
        <w:t>5.5</w:t>
      </w:r>
      <w:r>
        <w:rPr>
          <w:rFonts w:ascii="Times New Roman" w:eastAsia="仿宋_GB2312" w:hAnsi="Times New Roman" w:cs="Times New Roman"/>
          <w:sz w:val="32"/>
          <w:szCs w:val="32"/>
        </w:rPr>
        <w:t>的要求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修改为：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通过功能试验验证，应符合</w:t>
      </w:r>
      <w:r>
        <w:rPr>
          <w:rFonts w:ascii="Times New Roman" w:eastAsia="仿宋_GB2312" w:hAnsi="Times New Roman" w:cs="Times New Roman"/>
          <w:sz w:val="32"/>
          <w:szCs w:val="32"/>
        </w:rPr>
        <w:t>5.5</w:t>
      </w:r>
      <w:r>
        <w:rPr>
          <w:rFonts w:ascii="Times New Roman" w:eastAsia="仿宋_GB2312" w:hAnsi="Times New Roman" w:cs="Times New Roman"/>
          <w:sz w:val="32"/>
          <w:szCs w:val="32"/>
        </w:rPr>
        <w:t>的要求。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9B5EE1" w:rsidRDefault="009B5EE1" w:rsidP="009B5EE1">
      <w:pPr>
        <w:pStyle w:val="a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八、</w:t>
      </w:r>
      <w:r>
        <w:rPr>
          <w:rFonts w:ascii="Times New Roman" w:hAnsi="Times New Roman" w:cs="Times New Roman"/>
          <w:sz w:val="32"/>
          <w:szCs w:val="32"/>
        </w:rPr>
        <w:t xml:space="preserve">6.6 </w:t>
      </w:r>
      <w:r>
        <w:rPr>
          <w:rFonts w:ascii="Times New Roman" w:hAnsi="Times New Roman" w:cs="Times New Roman"/>
          <w:sz w:val="32"/>
          <w:szCs w:val="32"/>
        </w:rPr>
        <w:t>测温中</w:t>
      </w:r>
    </w:p>
    <w:p w:rsidR="009B5EE1" w:rsidRDefault="009B5EE1" w:rsidP="009B5EE1">
      <w:pPr>
        <w:pStyle w:val="a0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使用恒温水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油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浴，按制造商规定测温范围，分别设定上限值、下限值及中间值，待温度稳定后，验证设备显示的测温值与标定温度计的偏差，应符合</w:t>
      </w:r>
      <w:r>
        <w:rPr>
          <w:rFonts w:ascii="Times New Roman" w:eastAsia="仿宋_GB2312" w:hAnsi="Times New Roman" w:cs="Times New Roman"/>
          <w:sz w:val="32"/>
          <w:szCs w:val="32"/>
        </w:rPr>
        <w:t>5.6</w:t>
      </w:r>
      <w:r>
        <w:rPr>
          <w:rFonts w:ascii="Times New Roman" w:eastAsia="仿宋_GB2312" w:hAnsi="Times New Roman" w:cs="Times New Roman"/>
          <w:sz w:val="32"/>
          <w:szCs w:val="32"/>
        </w:rPr>
        <w:t>要求。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修改为：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通过查验说明书及功能试验来验证设备，并使用可控恒温容器，按制造商规定测温范围，分别设定下限值、中间值及上限值，待温度稳定后，验证设备显示的测温值与标定温度计示值的偏差，应符合</w:t>
      </w:r>
      <w:r>
        <w:rPr>
          <w:rFonts w:ascii="Times New Roman" w:eastAsia="仿宋_GB2312" w:hAnsi="Times New Roman" w:cs="Times New Roman"/>
          <w:sz w:val="32"/>
          <w:szCs w:val="32"/>
        </w:rPr>
        <w:t>5.6</w:t>
      </w:r>
      <w:r>
        <w:rPr>
          <w:rFonts w:ascii="Times New Roman" w:eastAsia="仿宋_GB2312" w:hAnsi="Times New Roman" w:cs="Times New Roman"/>
          <w:sz w:val="32"/>
          <w:szCs w:val="32"/>
        </w:rPr>
        <w:t>条要求。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9B5EE1" w:rsidRDefault="009B5EE1" w:rsidP="009B5EE1">
      <w:pPr>
        <w:pStyle w:val="a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九、</w:t>
      </w:r>
      <w:r>
        <w:rPr>
          <w:rFonts w:ascii="Times New Roman" w:hAnsi="Times New Roman" w:cs="Times New Roman"/>
          <w:sz w:val="32"/>
          <w:szCs w:val="32"/>
        </w:rPr>
        <w:t xml:space="preserve">6.11 </w:t>
      </w:r>
      <w:r>
        <w:rPr>
          <w:rFonts w:ascii="Times New Roman" w:hAnsi="Times New Roman" w:cs="Times New Roman"/>
          <w:sz w:val="32"/>
          <w:szCs w:val="32"/>
        </w:rPr>
        <w:t>脚踏开关中</w:t>
      </w:r>
    </w:p>
    <w:p w:rsidR="00AE246B" w:rsidRPr="009B5EE1" w:rsidRDefault="009B5EE1" w:rsidP="00A05D4B">
      <w:pPr>
        <w:pStyle w:val="a0"/>
        <w:widowControl w:val="0"/>
        <w:numPr>
          <w:ilvl w:val="0"/>
          <w:numId w:val="0"/>
        </w:numPr>
        <w:spacing w:beforeLines="0" w:before="156" w:afterLines="0" w:after="156" w:line="560" w:lineRule="exact"/>
        <w:ind w:firstLineChars="200" w:firstLine="640"/>
        <w:jc w:val="both"/>
      </w:pP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按</w:t>
      </w:r>
      <w:r>
        <w:rPr>
          <w:rFonts w:ascii="Times New Roman" w:eastAsia="仿宋_GB2312" w:hAnsi="Times New Roman" w:cs="Times New Roman"/>
          <w:sz w:val="32"/>
          <w:szCs w:val="32"/>
        </w:rPr>
        <w:t>YY 91057-1999</w:t>
      </w:r>
      <w:r>
        <w:rPr>
          <w:rFonts w:ascii="Times New Roman" w:eastAsia="仿宋_GB2312" w:hAnsi="Times New Roman" w:cs="Times New Roman"/>
          <w:sz w:val="32"/>
          <w:szCs w:val="32"/>
        </w:rPr>
        <w:t>中规定的方法进行试验，应符合</w:t>
      </w:r>
      <w:r>
        <w:rPr>
          <w:rFonts w:ascii="Times New Roman" w:eastAsia="仿宋_GB2312" w:hAnsi="Times New Roman" w:cs="Times New Roman"/>
          <w:sz w:val="32"/>
          <w:szCs w:val="32"/>
        </w:rPr>
        <w:t>5.11</w:t>
      </w:r>
      <w:r>
        <w:rPr>
          <w:rFonts w:ascii="Times New Roman" w:eastAsia="仿宋_GB2312" w:hAnsi="Times New Roman" w:cs="Times New Roman"/>
          <w:sz w:val="32"/>
          <w:szCs w:val="32"/>
        </w:rPr>
        <w:t>要求。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修改为：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按</w:t>
      </w:r>
      <w:r>
        <w:rPr>
          <w:rFonts w:ascii="Times New Roman" w:eastAsia="仿宋_GB2312" w:hAnsi="Times New Roman" w:cs="Times New Roman"/>
          <w:sz w:val="32"/>
          <w:szCs w:val="32"/>
        </w:rPr>
        <w:t>YY 1057</w:t>
      </w:r>
      <w:r>
        <w:rPr>
          <w:rFonts w:ascii="Times New Roman" w:eastAsia="仿宋_GB2312" w:hAnsi="Times New Roman" w:cs="Times New Roman"/>
          <w:sz w:val="32"/>
          <w:szCs w:val="32"/>
        </w:rPr>
        <w:t>中规定的方法进行试验，应符合</w:t>
      </w:r>
      <w:r>
        <w:rPr>
          <w:rFonts w:ascii="Times New Roman" w:eastAsia="仿宋_GB2312" w:hAnsi="Times New Roman" w:cs="Times New Roman"/>
          <w:sz w:val="32"/>
          <w:szCs w:val="32"/>
        </w:rPr>
        <w:t>5.11</w:t>
      </w:r>
      <w:r>
        <w:rPr>
          <w:rFonts w:ascii="Times New Roman" w:eastAsia="仿宋_GB2312" w:hAnsi="Times New Roman" w:cs="Times New Roman"/>
          <w:sz w:val="32"/>
          <w:szCs w:val="32"/>
        </w:rPr>
        <w:t>的要求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bookmarkStart w:id="0" w:name="_GoBack"/>
      <w:bookmarkEnd w:id="0"/>
    </w:p>
    <w:sectPr w:rsidR="00AE246B" w:rsidRPr="009B5EE1">
      <w:footerReference w:type="even" r:id="rId8"/>
      <w:footerReference w:type="default" r:id="rId9"/>
      <w:pgSz w:w="11906" w:h="16838"/>
      <w:pgMar w:top="1928" w:right="1531" w:bottom="1814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848" w:rsidRDefault="00833B13">
      <w:r>
        <w:separator/>
      </w:r>
    </w:p>
  </w:endnote>
  <w:endnote w:type="continuationSeparator" w:id="0">
    <w:p w:rsidR="00061848" w:rsidRDefault="0083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14" w:rsidRDefault="009B5EE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282A80" wp14:editId="1CF323FA">
              <wp:simplePos x="0" y="0"/>
              <wp:positionH relativeFrom="margin">
                <wp:align>outside</wp:align>
              </wp:positionH>
              <wp:positionV relativeFrom="paragraph">
                <wp:posOffset>-213360</wp:posOffset>
              </wp:positionV>
              <wp:extent cx="1124585" cy="230505"/>
              <wp:effectExtent l="635" t="0" r="0" b="635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45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614" w:rsidRDefault="009B5EE1">
                          <w:pPr>
                            <w:pStyle w:val="a6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20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37.35pt;margin-top:-16.8pt;width:88.55pt;height:18.1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" filled="f" stroked="f">
              <v:textbox style="mso-fit-shape-to-text:t" inset="0,0,0,0">
                <w:txbxContent>
                  <w:p w:rsidR="00000000" w:rsidRDefault="009B5EE1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t xml:space="preserve"> </w:t>
                    </w: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20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14" w:rsidRDefault="009B5EE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7FF7E" wp14:editId="4BD15E2A">
              <wp:simplePos x="0" y="0"/>
              <wp:positionH relativeFrom="margin">
                <wp:align>outside</wp:align>
              </wp:positionH>
              <wp:positionV relativeFrom="paragraph">
                <wp:posOffset>-260350</wp:posOffset>
              </wp:positionV>
              <wp:extent cx="1067435" cy="230505"/>
              <wp:effectExtent l="0" t="0" r="3175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614" w:rsidRPr="009B5EE1" w:rsidRDefault="009B5EE1">
                          <w:pPr>
                            <w:pStyle w:val="a6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5D4B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32.85pt;margin-top:-20.5pt;width:84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" filled="f" stroked="f">
              <v:textbox style="mso-fit-shape-to-text:t" inset="0,0,0,0">
                <w:txbxContent>
                  <w:p w:rsidR="00CD6614" w:rsidRPr="009B5EE1" w:rsidRDefault="009B5EE1">
                    <w:pPr>
                      <w:pStyle w:val="a6"/>
                      <w:rPr>
                        <w:rFonts w:eastAsia="宋体"/>
                        <w:sz w:val="28"/>
                        <w:szCs w:val="28"/>
                      </w:rPr>
                    </w:pP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A05D4B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848" w:rsidRDefault="00833B13">
      <w:r>
        <w:separator/>
      </w:r>
    </w:p>
  </w:footnote>
  <w:footnote w:type="continuationSeparator" w:id="0">
    <w:p w:rsidR="00061848" w:rsidRDefault="0083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E1"/>
    <w:rsid w:val="00061848"/>
    <w:rsid w:val="00833B13"/>
    <w:rsid w:val="009B5EE1"/>
    <w:rsid w:val="00A05D4B"/>
    <w:rsid w:val="00AE246B"/>
    <w:rsid w:val="00C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5E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一级条标题 Char"/>
    <w:link w:val="a"/>
    <w:rsid w:val="009B5EE1"/>
    <w:rPr>
      <w:rFonts w:ascii="黑体" w:eastAsia="黑体"/>
      <w:szCs w:val="21"/>
    </w:rPr>
  </w:style>
  <w:style w:type="character" w:customStyle="1" w:styleId="Char0">
    <w:name w:val="段 Char"/>
    <w:link w:val="a5"/>
    <w:qFormat/>
    <w:rsid w:val="009B5EE1"/>
    <w:rPr>
      <w:rFonts w:ascii="宋体"/>
    </w:rPr>
  </w:style>
  <w:style w:type="character" w:customStyle="1" w:styleId="Char1">
    <w:name w:val="页脚 Char"/>
    <w:link w:val="a6"/>
    <w:uiPriority w:val="99"/>
    <w:rsid w:val="009B5EE1"/>
    <w:rPr>
      <w:sz w:val="18"/>
      <w:szCs w:val="18"/>
    </w:rPr>
  </w:style>
  <w:style w:type="paragraph" w:customStyle="1" w:styleId="a">
    <w:name w:val="一级条标题"/>
    <w:next w:val="a5"/>
    <w:link w:val="Char"/>
    <w:qFormat/>
    <w:rsid w:val="009B5EE1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Cs w:val="21"/>
    </w:rPr>
  </w:style>
  <w:style w:type="paragraph" w:customStyle="1" w:styleId="a5">
    <w:name w:val="段"/>
    <w:link w:val="Char0"/>
    <w:qFormat/>
    <w:rsid w:val="009B5EE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1">
    <w:name w:val="列出段落1"/>
    <w:basedOn w:val="a1"/>
    <w:uiPriority w:val="34"/>
    <w:qFormat/>
    <w:rsid w:val="009B5EE1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1"/>
    <w:link w:val="Char1"/>
    <w:uiPriority w:val="99"/>
    <w:rsid w:val="009B5E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2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  <w:style w:type="paragraph" w:customStyle="1" w:styleId="a0">
    <w:name w:val="二级条标题"/>
    <w:basedOn w:val="a"/>
    <w:next w:val="a5"/>
    <w:qFormat/>
    <w:rsid w:val="009B5EE1"/>
    <w:pPr>
      <w:numPr>
        <w:ilvl w:val="2"/>
      </w:numPr>
      <w:spacing w:before="50" w:after="50"/>
      <w:outlineLvl w:val="3"/>
    </w:pPr>
  </w:style>
  <w:style w:type="paragraph" w:styleId="a7">
    <w:name w:val="Balloon Text"/>
    <w:basedOn w:val="a1"/>
    <w:link w:val="Char2"/>
    <w:uiPriority w:val="99"/>
    <w:semiHidden/>
    <w:unhideWhenUsed/>
    <w:rsid w:val="009B5EE1"/>
    <w:rPr>
      <w:sz w:val="18"/>
      <w:szCs w:val="18"/>
    </w:rPr>
  </w:style>
  <w:style w:type="character" w:customStyle="1" w:styleId="Char2">
    <w:name w:val="批注框文本 Char"/>
    <w:basedOn w:val="a2"/>
    <w:link w:val="a7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5E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一级条标题 Char"/>
    <w:link w:val="a"/>
    <w:rsid w:val="009B5EE1"/>
    <w:rPr>
      <w:rFonts w:ascii="黑体" w:eastAsia="黑体"/>
      <w:szCs w:val="21"/>
    </w:rPr>
  </w:style>
  <w:style w:type="character" w:customStyle="1" w:styleId="Char0">
    <w:name w:val="段 Char"/>
    <w:link w:val="a5"/>
    <w:qFormat/>
    <w:rsid w:val="009B5EE1"/>
    <w:rPr>
      <w:rFonts w:ascii="宋体"/>
    </w:rPr>
  </w:style>
  <w:style w:type="character" w:customStyle="1" w:styleId="Char1">
    <w:name w:val="页脚 Char"/>
    <w:link w:val="a6"/>
    <w:uiPriority w:val="99"/>
    <w:rsid w:val="009B5EE1"/>
    <w:rPr>
      <w:sz w:val="18"/>
      <w:szCs w:val="18"/>
    </w:rPr>
  </w:style>
  <w:style w:type="paragraph" w:customStyle="1" w:styleId="a">
    <w:name w:val="一级条标题"/>
    <w:next w:val="a5"/>
    <w:link w:val="Char"/>
    <w:qFormat/>
    <w:rsid w:val="009B5EE1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Cs w:val="21"/>
    </w:rPr>
  </w:style>
  <w:style w:type="paragraph" w:customStyle="1" w:styleId="a5">
    <w:name w:val="段"/>
    <w:link w:val="Char0"/>
    <w:qFormat/>
    <w:rsid w:val="009B5EE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1">
    <w:name w:val="列出段落1"/>
    <w:basedOn w:val="a1"/>
    <w:uiPriority w:val="34"/>
    <w:qFormat/>
    <w:rsid w:val="009B5EE1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1"/>
    <w:link w:val="Char1"/>
    <w:uiPriority w:val="99"/>
    <w:rsid w:val="009B5E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2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  <w:style w:type="paragraph" w:customStyle="1" w:styleId="a0">
    <w:name w:val="二级条标题"/>
    <w:basedOn w:val="a"/>
    <w:next w:val="a5"/>
    <w:qFormat/>
    <w:rsid w:val="009B5EE1"/>
    <w:pPr>
      <w:numPr>
        <w:ilvl w:val="2"/>
      </w:numPr>
      <w:spacing w:before="50" w:after="50"/>
      <w:outlineLvl w:val="3"/>
    </w:pPr>
  </w:style>
  <w:style w:type="paragraph" w:styleId="a7">
    <w:name w:val="Balloon Text"/>
    <w:basedOn w:val="a1"/>
    <w:link w:val="Char2"/>
    <w:uiPriority w:val="99"/>
    <w:semiHidden/>
    <w:unhideWhenUsed/>
    <w:rsid w:val="009B5EE1"/>
    <w:rPr>
      <w:sz w:val="18"/>
      <w:szCs w:val="18"/>
    </w:rPr>
  </w:style>
  <w:style w:type="character" w:customStyle="1" w:styleId="Char2">
    <w:name w:val="批注框文本 Char"/>
    <w:basedOn w:val="a2"/>
    <w:link w:val="a7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view01</dc:creator>
  <cp:lastModifiedBy>view01</cp:lastModifiedBy>
  <cp:revision>3</cp:revision>
  <dcterms:created xsi:type="dcterms:W3CDTF">2020-03-06T09:26:00Z</dcterms:created>
  <dcterms:modified xsi:type="dcterms:W3CDTF">2020-03-06T09:40:00Z</dcterms:modified>
</cp:coreProperties>
</file>