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160" w:firstLineChars="50"/>
        <w:rPr>
          <w:rFonts w:hint="eastAsia" w:ascii="黑体" w:hAnsi="黑体" w:eastAsia="黑体" w:cs="华文仿宋"/>
          <w:sz w:val="32"/>
          <w:szCs w:val="32"/>
        </w:rPr>
      </w:pPr>
      <w:r>
        <w:rPr>
          <w:rFonts w:hint="eastAsia" w:ascii="黑体" w:hAnsi="黑体" w:eastAsia="黑体" w:cs="华文仿宋"/>
          <w:sz w:val="32"/>
          <w:szCs w:val="32"/>
        </w:rPr>
        <w:t>附件1</w:t>
      </w:r>
    </w:p>
    <w:p>
      <w:pPr>
        <w:spacing w:line="500" w:lineRule="exact"/>
        <w:ind w:firstLine="164"/>
        <w:jc w:val="center"/>
        <w:rPr>
          <w:rFonts w:ascii="黑体" w:hAnsi="黑体" w:eastAsia="黑体" w:cs="华文仿宋"/>
          <w:sz w:val="32"/>
          <w:szCs w:val="32"/>
        </w:rPr>
      </w:pPr>
    </w:p>
    <w:p>
      <w:pPr>
        <w:spacing w:line="500" w:lineRule="exact"/>
        <w:ind w:firstLine="224"/>
        <w:jc w:val="center"/>
        <w:rPr>
          <w:rFonts w:hint="eastAsia" w:ascii="方正小标宋简体" w:hAnsi="华文仿宋" w:eastAsia="方正小标宋简体" w:cs="华文仿宋"/>
          <w:sz w:val="44"/>
          <w:szCs w:val="44"/>
        </w:rPr>
      </w:pPr>
      <w:bookmarkStart w:id="0" w:name="_GoBack"/>
      <w:r>
        <w:rPr>
          <w:rFonts w:hint="eastAsia" w:ascii="方正小标宋简体" w:hAnsi="华文仿宋" w:eastAsia="方正小标宋简体" w:cs="华文仿宋"/>
          <w:sz w:val="44"/>
          <w:szCs w:val="44"/>
        </w:rPr>
        <w:t>医疗器械网络交易服务第三方平台重点检查表</w:t>
      </w:r>
    </w:p>
    <w:bookmarkEnd w:id="0"/>
    <w:p>
      <w:pPr>
        <w:spacing w:line="500" w:lineRule="exact"/>
        <w:ind w:firstLine="140"/>
        <w:jc w:val="center"/>
        <w:rPr>
          <w:rFonts w:hint="eastAsia" w:eastAsia="黑体"/>
          <w:color w:val="000000"/>
          <w:spacing w:val="-24"/>
          <w:sz w:val="32"/>
          <w:szCs w:val="3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80"/>
        <w:gridCol w:w="4080"/>
        <w:gridCol w:w="3685"/>
        <w:gridCol w:w="269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85" w:type="dxa"/>
            <w:noWrap w:val="0"/>
            <w:vAlign w:val="center"/>
          </w:tcPr>
          <w:p>
            <w:pPr>
              <w:jc w:val="center"/>
              <w:rPr>
                <w:rFonts w:ascii="黑体" w:hAnsi="黑体" w:eastAsia="黑体"/>
                <w:color w:val="000000"/>
                <w:sz w:val="27"/>
                <w:szCs w:val="27"/>
              </w:rPr>
            </w:pPr>
            <w:r>
              <w:rPr>
                <w:rFonts w:ascii="黑体" w:hAnsi="黑体" w:eastAsia="黑体"/>
                <w:color w:val="000000"/>
                <w:sz w:val="27"/>
                <w:szCs w:val="27"/>
              </w:rPr>
              <w:t>序号</w:t>
            </w:r>
          </w:p>
        </w:tc>
        <w:tc>
          <w:tcPr>
            <w:tcW w:w="1480" w:type="dxa"/>
            <w:noWrap w:val="0"/>
            <w:vAlign w:val="center"/>
          </w:tcPr>
          <w:p>
            <w:pPr>
              <w:spacing w:line="300" w:lineRule="exact"/>
              <w:jc w:val="center"/>
              <w:rPr>
                <w:rFonts w:ascii="黑体" w:hAnsi="黑体" w:eastAsia="黑体"/>
                <w:color w:val="000000"/>
                <w:sz w:val="27"/>
                <w:szCs w:val="27"/>
              </w:rPr>
            </w:pPr>
            <w:r>
              <w:rPr>
                <w:rFonts w:ascii="黑体" w:hAnsi="黑体" w:eastAsia="黑体"/>
                <w:color w:val="000000"/>
                <w:sz w:val="27"/>
                <w:szCs w:val="27"/>
              </w:rPr>
              <w:t>检查事项</w:t>
            </w:r>
          </w:p>
        </w:tc>
        <w:tc>
          <w:tcPr>
            <w:tcW w:w="4080" w:type="dxa"/>
            <w:noWrap w:val="0"/>
            <w:vAlign w:val="center"/>
          </w:tcPr>
          <w:p>
            <w:pPr>
              <w:spacing w:line="300" w:lineRule="exact"/>
              <w:jc w:val="center"/>
              <w:rPr>
                <w:rFonts w:ascii="黑体" w:hAnsi="黑体" w:eastAsia="黑体"/>
                <w:color w:val="000000"/>
                <w:sz w:val="27"/>
                <w:szCs w:val="27"/>
              </w:rPr>
            </w:pPr>
            <w:r>
              <w:rPr>
                <w:rFonts w:ascii="黑体" w:hAnsi="黑体" w:eastAsia="黑体"/>
                <w:color w:val="000000"/>
                <w:sz w:val="27"/>
                <w:szCs w:val="27"/>
              </w:rPr>
              <w:t>相关依据</w:t>
            </w:r>
          </w:p>
        </w:tc>
        <w:tc>
          <w:tcPr>
            <w:tcW w:w="3685" w:type="dxa"/>
            <w:noWrap w:val="0"/>
            <w:vAlign w:val="center"/>
          </w:tcPr>
          <w:p>
            <w:pPr>
              <w:spacing w:line="300" w:lineRule="exact"/>
              <w:jc w:val="center"/>
              <w:rPr>
                <w:rFonts w:ascii="黑体" w:hAnsi="黑体" w:eastAsia="黑体"/>
                <w:color w:val="000000"/>
                <w:sz w:val="27"/>
                <w:szCs w:val="27"/>
              </w:rPr>
            </w:pPr>
            <w:r>
              <w:rPr>
                <w:rFonts w:ascii="黑体" w:hAnsi="黑体" w:eastAsia="黑体"/>
                <w:color w:val="000000"/>
                <w:sz w:val="27"/>
                <w:szCs w:val="27"/>
              </w:rPr>
              <w:t>相关责任</w:t>
            </w:r>
          </w:p>
        </w:tc>
        <w:tc>
          <w:tcPr>
            <w:tcW w:w="2694" w:type="dxa"/>
            <w:noWrap w:val="0"/>
            <w:vAlign w:val="center"/>
          </w:tcPr>
          <w:p>
            <w:pPr>
              <w:spacing w:line="300" w:lineRule="exact"/>
              <w:jc w:val="center"/>
              <w:rPr>
                <w:rFonts w:ascii="黑体" w:hAnsi="黑体" w:eastAsia="黑体"/>
                <w:color w:val="000000"/>
                <w:sz w:val="27"/>
                <w:szCs w:val="27"/>
              </w:rPr>
            </w:pPr>
            <w:r>
              <w:rPr>
                <w:rFonts w:ascii="黑体" w:hAnsi="黑体" w:eastAsia="黑体"/>
                <w:color w:val="000000"/>
                <w:sz w:val="27"/>
                <w:szCs w:val="27"/>
              </w:rPr>
              <w:t>检查重点</w:t>
            </w:r>
          </w:p>
        </w:tc>
        <w:tc>
          <w:tcPr>
            <w:tcW w:w="1984" w:type="dxa"/>
            <w:noWrap w:val="0"/>
            <w:vAlign w:val="center"/>
          </w:tcPr>
          <w:p>
            <w:pPr>
              <w:spacing w:line="300" w:lineRule="exact"/>
              <w:jc w:val="center"/>
              <w:rPr>
                <w:rFonts w:ascii="黑体" w:hAnsi="黑体" w:eastAsia="黑体"/>
                <w:color w:val="000000"/>
                <w:sz w:val="27"/>
                <w:szCs w:val="27"/>
              </w:rPr>
            </w:pPr>
            <w:r>
              <w:rPr>
                <w:rFonts w:ascii="黑体" w:hAnsi="黑体" w:eastAsia="黑体"/>
                <w:color w:val="000000"/>
                <w:sz w:val="27"/>
                <w:szCs w:val="27"/>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85" w:type="dxa"/>
            <w:vMerge w:val="restart"/>
            <w:noWrap w:val="0"/>
            <w:vAlign w:val="center"/>
          </w:tcPr>
          <w:p>
            <w:pPr>
              <w:spacing w:line="300" w:lineRule="exact"/>
              <w:jc w:val="center"/>
              <w:rPr>
                <w:rFonts w:eastAsia="仿宋_GB2312"/>
                <w:color w:val="000000"/>
                <w:sz w:val="27"/>
                <w:szCs w:val="27"/>
              </w:rPr>
            </w:pPr>
            <w:r>
              <w:rPr>
                <w:rFonts w:eastAsia="仿宋_GB2312"/>
                <w:color w:val="000000"/>
                <w:sz w:val="27"/>
                <w:szCs w:val="27"/>
              </w:rPr>
              <w:t>1</w:t>
            </w:r>
          </w:p>
        </w:tc>
        <w:tc>
          <w:tcPr>
            <w:tcW w:w="1480" w:type="dxa"/>
            <w:vMerge w:val="restart"/>
            <w:noWrap w:val="0"/>
            <w:vAlign w:val="center"/>
          </w:tcPr>
          <w:p>
            <w:pPr>
              <w:spacing w:line="300" w:lineRule="exact"/>
              <w:rPr>
                <w:rFonts w:eastAsia="仿宋_GB2312"/>
                <w:color w:val="000000"/>
                <w:sz w:val="27"/>
                <w:szCs w:val="27"/>
              </w:rPr>
            </w:pPr>
            <w:r>
              <w:rPr>
                <w:rFonts w:eastAsia="仿宋_GB2312"/>
                <w:color w:val="000000"/>
                <w:sz w:val="27"/>
                <w:szCs w:val="27"/>
              </w:rPr>
              <w:t>具备相应办公条件、技术条件、管理条件</w:t>
            </w:r>
          </w:p>
        </w:tc>
        <w:tc>
          <w:tcPr>
            <w:tcW w:w="4080" w:type="dxa"/>
            <w:vMerge w:val="restart"/>
            <w:noWrap w:val="0"/>
            <w:vAlign w:val="center"/>
          </w:tcPr>
          <w:p>
            <w:pPr>
              <w:spacing w:line="300" w:lineRule="exact"/>
              <w:rPr>
                <w:rFonts w:eastAsia="仿宋_GB2312"/>
                <w:color w:val="000000"/>
                <w:sz w:val="27"/>
                <w:szCs w:val="27"/>
              </w:rPr>
            </w:pPr>
            <w:r>
              <w:rPr>
                <w:rFonts w:eastAsia="仿宋_GB2312"/>
                <w:color w:val="000000"/>
                <w:sz w:val="27"/>
                <w:szCs w:val="27"/>
              </w:rPr>
              <w:t>《医疗器械网络销售监督管理办法》第十五条 医疗器械网络交易服务第三方平台提供者应当依法取得《互联网药品信息服务资格</w:t>
            </w:r>
            <w:r>
              <w:rPr>
                <w:rFonts w:eastAsia="仿宋_GB2312"/>
                <w:color w:val="000000"/>
                <w:kern w:val="0"/>
                <w:sz w:val="27"/>
                <w:szCs w:val="27"/>
              </w:rPr>
              <w:t>证书》，</w:t>
            </w:r>
            <w:r>
              <w:rPr>
                <w:rFonts w:eastAsia="仿宋_GB2312"/>
                <w:color w:val="000000"/>
                <w:sz w:val="27"/>
                <w:szCs w:val="27"/>
              </w:rPr>
              <w:t>具备与其规模相适应的办公场所以及数据备份、故障恢复等技术条件，设置专门的医疗器械网络质量安全管理机构或者配备医疗器械质量安全管理人员。</w:t>
            </w:r>
          </w:p>
          <w:p>
            <w:pPr>
              <w:spacing w:line="300" w:lineRule="exact"/>
              <w:rPr>
                <w:rFonts w:eastAsia="仿宋_GB2312"/>
                <w:color w:val="000000"/>
                <w:sz w:val="27"/>
                <w:szCs w:val="27"/>
              </w:rPr>
            </w:pPr>
          </w:p>
        </w:tc>
        <w:tc>
          <w:tcPr>
            <w:tcW w:w="3685" w:type="dxa"/>
            <w:vMerge w:val="restart"/>
            <w:noWrap w:val="0"/>
            <w:vAlign w:val="center"/>
          </w:tcPr>
          <w:p>
            <w:pPr>
              <w:spacing w:line="300" w:lineRule="exact"/>
              <w:rPr>
                <w:rFonts w:eastAsia="仿宋_GB2312"/>
                <w:color w:val="000000"/>
                <w:sz w:val="27"/>
                <w:szCs w:val="27"/>
              </w:rPr>
            </w:pPr>
            <w:r>
              <w:rPr>
                <w:rFonts w:eastAsia="仿宋_GB2312"/>
                <w:color w:val="000000"/>
                <w:sz w:val="27"/>
                <w:szCs w:val="27"/>
              </w:rPr>
              <w:t>《医疗器械网络销售监督管理办法》第四十三条 有下列情形之一的，由县级以上地方食品药品监督管理部门责令改正，给予警告；拒不改正的，处1万元以上3万元以下罚款：（一）从事医疗器械网络</w:t>
            </w:r>
            <w:r>
              <w:rPr>
                <w:rFonts w:eastAsia="仿宋_GB2312"/>
                <w:color w:val="000000"/>
                <w:kern w:val="0"/>
                <w:sz w:val="27"/>
                <w:szCs w:val="27"/>
              </w:rPr>
              <w:t>销售</w:t>
            </w:r>
            <w:r>
              <w:rPr>
                <w:rFonts w:eastAsia="仿宋_GB2312"/>
                <w:color w:val="000000"/>
                <w:sz w:val="27"/>
                <w:szCs w:val="27"/>
              </w:rPr>
              <w:t>的企业、医疗器械网络交易服务</w:t>
            </w:r>
            <w:r>
              <w:rPr>
                <w:rFonts w:eastAsia="仿宋_GB2312"/>
                <w:color w:val="000000"/>
                <w:kern w:val="0"/>
                <w:sz w:val="27"/>
                <w:szCs w:val="27"/>
              </w:rPr>
              <w:t>第三方</w:t>
            </w:r>
            <w:r>
              <w:rPr>
                <w:rFonts w:eastAsia="仿宋_GB2312"/>
                <w:color w:val="000000"/>
                <w:sz w:val="27"/>
                <w:szCs w:val="27"/>
              </w:rPr>
              <w:t>平台条件发生变化，不再满足规定要求的；</w:t>
            </w:r>
          </w:p>
          <w:p>
            <w:pPr>
              <w:spacing w:line="300" w:lineRule="exact"/>
              <w:rPr>
                <w:rFonts w:eastAsia="仿宋_GB2312"/>
                <w:color w:val="000000"/>
                <w:sz w:val="27"/>
                <w:szCs w:val="27"/>
              </w:rPr>
            </w:pPr>
            <w:r>
              <w:rPr>
                <w:rFonts w:eastAsia="仿宋_GB2312"/>
                <w:color w:val="000000"/>
                <w:sz w:val="27"/>
                <w:szCs w:val="27"/>
              </w:rPr>
              <w:t>《医疗器械网络销售</w:t>
            </w:r>
            <w:r>
              <w:rPr>
                <w:rFonts w:eastAsia="仿宋_GB2312"/>
                <w:color w:val="000000"/>
                <w:kern w:val="0"/>
                <w:sz w:val="27"/>
                <w:szCs w:val="27"/>
              </w:rPr>
              <w:t>监督管理办法》第四十一条 有下列情形之一的，由县级以上地方食品药</w:t>
            </w:r>
            <w:r>
              <w:rPr>
                <w:rFonts w:eastAsia="仿宋_GB2312"/>
                <w:color w:val="000000"/>
                <w:sz w:val="27"/>
                <w:szCs w:val="27"/>
              </w:rPr>
              <w:t>品监督管理部门责令改正，给予警告；拒不改正的，处5000元以上2万元以下罚款：（四）医疗器械网络交易服务</w:t>
            </w:r>
            <w:r>
              <w:rPr>
                <w:rFonts w:eastAsia="仿宋_GB2312"/>
                <w:color w:val="000000"/>
                <w:kern w:val="0"/>
                <w:sz w:val="27"/>
                <w:szCs w:val="27"/>
              </w:rPr>
              <w:t>第三方</w:t>
            </w:r>
            <w:r>
              <w:rPr>
                <w:rFonts w:eastAsia="仿宋_GB2312"/>
                <w:color w:val="000000"/>
                <w:sz w:val="27"/>
                <w:szCs w:val="27"/>
              </w:rPr>
              <w:t>平台提供者未按规定要求设置与其规模相适应的质量安全管理机构或者配备质量安全管理人员的。</w:t>
            </w:r>
          </w:p>
        </w:tc>
        <w:tc>
          <w:tcPr>
            <w:tcW w:w="2694" w:type="dxa"/>
            <w:noWrap w:val="0"/>
            <w:vAlign w:val="center"/>
          </w:tcPr>
          <w:p>
            <w:pPr>
              <w:spacing w:line="300" w:lineRule="exact"/>
              <w:rPr>
                <w:rFonts w:eastAsia="仿宋_GB2312"/>
                <w:color w:val="000000"/>
                <w:sz w:val="27"/>
                <w:szCs w:val="27"/>
              </w:rPr>
            </w:pPr>
            <w:r>
              <w:rPr>
                <w:rFonts w:eastAsia="仿宋_GB2312"/>
                <w:color w:val="000000"/>
                <w:sz w:val="27"/>
                <w:szCs w:val="27"/>
              </w:rPr>
              <w:t>是否取得《互联网药品信息服务资格</w:t>
            </w:r>
            <w:r>
              <w:rPr>
                <w:rFonts w:eastAsia="仿宋_GB2312"/>
                <w:color w:val="000000"/>
                <w:kern w:val="0"/>
                <w:sz w:val="27"/>
                <w:szCs w:val="27"/>
              </w:rPr>
              <w:t>证书》。</w:t>
            </w:r>
          </w:p>
        </w:tc>
        <w:tc>
          <w:tcPr>
            <w:tcW w:w="1984" w:type="dxa"/>
            <w:noWrap w:val="0"/>
            <w:vAlign w:val="top"/>
          </w:tcPr>
          <w:p>
            <w:pPr>
              <w:spacing w:line="300" w:lineRule="exac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785" w:type="dxa"/>
            <w:vMerge w:val="continue"/>
            <w:noWrap w:val="0"/>
            <w:vAlign w:val="center"/>
          </w:tcPr>
          <w:p>
            <w:pPr>
              <w:spacing w:line="300" w:lineRule="exact"/>
              <w:jc w:val="center"/>
              <w:rPr>
                <w:rFonts w:eastAsia="仿宋_GB2312"/>
                <w:color w:val="000000"/>
                <w:sz w:val="27"/>
                <w:szCs w:val="27"/>
              </w:rPr>
            </w:pPr>
          </w:p>
        </w:tc>
        <w:tc>
          <w:tcPr>
            <w:tcW w:w="1480" w:type="dxa"/>
            <w:vMerge w:val="continue"/>
            <w:noWrap w:val="0"/>
            <w:vAlign w:val="center"/>
          </w:tcPr>
          <w:p>
            <w:pPr>
              <w:spacing w:line="300" w:lineRule="exact"/>
              <w:rPr>
                <w:rFonts w:eastAsia="仿宋_GB2312"/>
                <w:color w:val="000000"/>
                <w:sz w:val="27"/>
                <w:szCs w:val="27"/>
              </w:rPr>
            </w:pPr>
          </w:p>
        </w:tc>
        <w:tc>
          <w:tcPr>
            <w:tcW w:w="4080" w:type="dxa"/>
            <w:vMerge w:val="continue"/>
            <w:noWrap w:val="0"/>
            <w:vAlign w:val="center"/>
          </w:tcPr>
          <w:p>
            <w:pPr>
              <w:spacing w:line="300" w:lineRule="exact"/>
              <w:rPr>
                <w:rFonts w:eastAsia="仿宋_GB2312"/>
                <w:color w:val="000000"/>
                <w:sz w:val="27"/>
                <w:szCs w:val="27"/>
              </w:rPr>
            </w:pPr>
          </w:p>
        </w:tc>
        <w:tc>
          <w:tcPr>
            <w:tcW w:w="3685" w:type="dxa"/>
            <w:vMerge w:val="continue"/>
            <w:noWrap w:val="0"/>
            <w:vAlign w:val="center"/>
          </w:tcPr>
          <w:p>
            <w:pPr>
              <w:spacing w:line="300" w:lineRule="exact"/>
              <w:rPr>
                <w:rFonts w:eastAsia="仿宋_GB2312"/>
                <w:color w:val="000000"/>
                <w:sz w:val="27"/>
                <w:szCs w:val="27"/>
              </w:rPr>
            </w:pPr>
          </w:p>
        </w:tc>
        <w:tc>
          <w:tcPr>
            <w:tcW w:w="2694" w:type="dxa"/>
            <w:noWrap w:val="0"/>
            <w:vAlign w:val="center"/>
          </w:tcPr>
          <w:p>
            <w:pPr>
              <w:spacing w:line="300" w:lineRule="exact"/>
              <w:rPr>
                <w:rFonts w:eastAsia="仿宋_GB2312"/>
                <w:color w:val="000000"/>
                <w:sz w:val="27"/>
                <w:szCs w:val="27"/>
              </w:rPr>
            </w:pPr>
            <w:r>
              <w:rPr>
                <w:rFonts w:eastAsia="仿宋_GB2312"/>
                <w:color w:val="000000"/>
                <w:kern w:val="0"/>
                <w:sz w:val="27"/>
                <w:szCs w:val="27"/>
              </w:rPr>
              <w:t>是否</w:t>
            </w:r>
            <w:r>
              <w:rPr>
                <w:rFonts w:eastAsia="仿宋_GB2312"/>
                <w:color w:val="000000"/>
                <w:sz w:val="27"/>
                <w:szCs w:val="27"/>
              </w:rPr>
              <w:t>具备与其规模相适应的办公场所以及数据备份、故障恢复等技术条件。</w:t>
            </w:r>
          </w:p>
        </w:tc>
        <w:tc>
          <w:tcPr>
            <w:tcW w:w="1984" w:type="dxa"/>
            <w:noWrap w:val="0"/>
            <w:vAlign w:val="top"/>
          </w:tcPr>
          <w:p>
            <w:pPr>
              <w:spacing w:line="300" w:lineRule="exac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jc w:val="center"/>
        </w:trPr>
        <w:tc>
          <w:tcPr>
            <w:tcW w:w="785" w:type="dxa"/>
            <w:vMerge w:val="continue"/>
            <w:noWrap w:val="0"/>
            <w:vAlign w:val="center"/>
          </w:tcPr>
          <w:p>
            <w:pPr>
              <w:spacing w:line="300" w:lineRule="exact"/>
              <w:jc w:val="center"/>
              <w:rPr>
                <w:rFonts w:eastAsia="仿宋_GB2312"/>
                <w:color w:val="000000"/>
                <w:sz w:val="27"/>
                <w:szCs w:val="27"/>
              </w:rPr>
            </w:pPr>
          </w:p>
        </w:tc>
        <w:tc>
          <w:tcPr>
            <w:tcW w:w="1480" w:type="dxa"/>
            <w:vMerge w:val="continue"/>
            <w:noWrap w:val="0"/>
            <w:vAlign w:val="center"/>
          </w:tcPr>
          <w:p>
            <w:pPr>
              <w:spacing w:line="300" w:lineRule="exact"/>
              <w:rPr>
                <w:rFonts w:eastAsia="仿宋_GB2312"/>
                <w:color w:val="000000"/>
                <w:sz w:val="27"/>
                <w:szCs w:val="27"/>
              </w:rPr>
            </w:pPr>
          </w:p>
        </w:tc>
        <w:tc>
          <w:tcPr>
            <w:tcW w:w="4080" w:type="dxa"/>
            <w:vMerge w:val="continue"/>
            <w:noWrap w:val="0"/>
            <w:vAlign w:val="center"/>
          </w:tcPr>
          <w:p>
            <w:pPr>
              <w:spacing w:line="300" w:lineRule="exact"/>
              <w:rPr>
                <w:rFonts w:eastAsia="仿宋_GB2312"/>
                <w:color w:val="000000"/>
                <w:sz w:val="27"/>
                <w:szCs w:val="27"/>
              </w:rPr>
            </w:pPr>
          </w:p>
        </w:tc>
        <w:tc>
          <w:tcPr>
            <w:tcW w:w="3685" w:type="dxa"/>
            <w:vMerge w:val="continue"/>
            <w:noWrap w:val="0"/>
            <w:vAlign w:val="center"/>
          </w:tcPr>
          <w:p>
            <w:pPr>
              <w:spacing w:line="300" w:lineRule="exact"/>
              <w:rPr>
                <w:rFonts w:eastAsia="仿宋_GB2312"/>
                <w:color w:val="000000"/>
                <w:sz w:val="27"/>
                <w:szCs w:val="27"/>
              </w:rPr>
            </w:pPr>
          </w:p>
        </w:tc>
        <w:tc>
          <w:tcPr>
            <w:tcW w:w="2694" w:type="dxa"/>
            <w:noWrap w:val="0"/>
            <w:vAlign w:val="center"/>
          </w:tcPr>
          <w:p>
            <w:pPr>
              <w:spacing w:line="300" w:lineRule="exact"/>
              <w:rPr>
                <w:rFonts w:eastAsia="仿宋_GB2312"/>
                <w:color w:val="000000"/>
                <w:kern w:val="0"/>
                <w:sz w:val="27"/>
                <w:szCs w:val="27"/>
              </w:rPr>
            </w:pPr>
            <w:r>
              <w:rPr>
                <w:rFonts w:eastAsia="仿宋_GB2312"/>
                <w:color w:val="000000"/>
                <w:sz w:val="27"/>
                <w:szCs w:val="27"/>
              </w:rPr>
              <w:t>是否设置专门的医疗器械网络质量安全管理机构或者配备医疗器械质量安全管理人员。</w:t>
            </w:r>
          </w:p>
        </w:tc>
        <w:tc>
          <w:tcPr>
            <w:tcW w:w="1984" w:type="dxa"/>
            <w:noWrap w:val="0"/>
            <w:vAlign w:val="top"/>
          </w:tcPr>
          <w:p>
            <w:pPr>
              <w:spacing w:line="300" w:lineRule="exac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785" w:type="dxa"/>
            <w:vMerge w:val="restart"/>
            <w:noWrap w:val="0"/>
            <w:vAlign w:val="center"/>
          </w:tcPr>
          <w:p>
            <w:pPr>
              <w:spacing w:line="300" w:lineRule="exact"/>
              <w:jc w:val="center"/>
              <w:rPr>
                <w:rFonts w:eastAsia="仿宋_GB2312"/>
                <w:color w:val="000000"/>
                <w:sz w:val="27"/>
                <w:szCs w:val="27"/>
              </w:rPr>
            </w:pPr>
            <w:r>
              <w:rPr>
                <w:rFonts w:eastAsia="仿宋_GB2312"/>
                <w:color w:val="000000"/>
                <w:sz w:val="27"/>
                <w:szCs w:val="27"/>
              </w:rPr>
              <w:t>2</w:t>
            </w:r>
          </w:p>
        </w:tc>
        <w:tc>
          <w:tcPr>
            <w:tcW w:w="1480" w:type="dxa"/>
            <w:vMerge w:val="restart"/>
            <w:noWrap w:val="0"/>
            <w:vAlign w:val="center"/>
          </w:tcPr>
          <w:p>
            <w:pPr>
              <w:spacing w:line="300" w:lineRule="exact"/>
              <w:rPr>
                <w:rFonts w:eastAsia="仿宋_GB2312"/>
                <w:color w:val="000000"/>
                <w:sz w:val="27"/>
                <w:szCs w:val="27"/>
              </w:rPr>
            </w:pPr>
            <w:r>
              <w:rPr>
                <w:rFonts w:eastAsia="仿宋_GB2312"/>
                <w:color w:val="000000"/>
                <w:sz w:val="27"/>
                <w:szCs w:val="27"/>
              </w:rPr>
              <w:t>办理医疗器械网络交易服务第三方平台备案</w:t>
            </w:r>
          </w:p>
        </w:tc>
        <w:tc>
          <w:tcPr>
            <w:tcW w:w="4080" w:type="dxa"/>
            <w:vMerge w:val="restart"/>
            <w:noWrap w:val="0"/>
            <w:vAlign w:val="center"/>
          </w:tcPr>
          <w:p>
            <w:pPr>
              <w:spacing w:line="300" w:lineRule="exact"/>
              <w:rPr>
                <w:rFonts w:eastAsia="仿宋_GB2312"/>
                <w:color w:val="000000"/>
                <w:kern w:val="0"/>
                <w:sz w:val="27"/>
                <w:szCs w:val="27"/>
              </w:rPr>
            </w:pPr>
            <w:r>
              <w:rPr>
                <w:rFonts w:eastAsia="仿宋_GB2312"/>
                <w:color w:val="000000"/>
                <w:sz w:val="27"/>
                <w:szCs w:val="27"/>
              </w:rPr>
              <w:t xml:space="preserve">《医疗器械网络销售监督管理办法》第十六条 </w:t>
            </w:r>
            <w:r>
              <w:rPr>
                <w:rFonts w:eastAsia="仿宋_GB2312"/>
                <w:color w:val="000000"/>
                <w:kern w:val="0"/>
                <w:sz w:val="27"/>
                <w:szCs w:val="27"/>
              </w:rPr>
              <w:t>医疗器械网络交易服务第三方平台提供者</w:t>
            </w:r>
            <w:r>
              <w:rPr>
                <w:rFonts w:eastAsia="仿宋_GB2312"/>
                <w:color w:val="000000"/>
                <w:sz w:val="27"/>
                <w:szCs w:val="27"/>
              </w:rPr>
              <w:t>应当</w:t>
            </w:r>
            <w:r>
              <w:rPr>
                <w:rFonts w:eastAsia="仿宋_GB2312"/>
                <w:color w:val="000000"/>
                <w:kern w:val="0"/>
                <w:sz w:val="27"/>
                <w:szCs w:val="27"/>
              </w:rPr>
              <w:t>向所在地省级食品药品监督管理部门备案。</w:t>
            </w:r>
          </w:p>
          <w:p>
            <w:pPr>
              <w:spacing w:line="300" w:lineRule="exact"/>
              <w:rPr>
                <w:rFonts w:eastAsia="仿宋_GB2312"/>
                <w:color w:val="000000"/>
                <w:sz w:val="27"/>
                <w:szCs w:val="27"/>
              </w:rPr>
            </w:pPr>
            <w:r>
              <w:rPr>
                <w:rFonts w:eastAsia="仿宋_GB2312"/>
                <w:color w:val="000000"/>
                <w:sz w:val="27"/>
                <w:szCs w:val="27"/>
              </w:rPr>
              <w:t>《医疗器械网络销售监督管理办法》第十八条  医疗器械网络交易服务第三方平台提供者名称、法定代表人或者主要负责人、网站名称、网络客户端应用程序名、网站域名、网站IP地址、电信业务经营许可证或者非经营性互联网信息服务备案编号等备案信息发生变化的，应当及时变更备案。</w:t>
            </w:r>
          </w:p>
        </w:tc>
        <w:tc>
          <w:tcPr>
            <w:tcW w:w="3685" w:type="dxa"/>
            <w:vMerge w:val="restart"/>
            <w:noWrap w:val="0"/>
            <w:vAlign w:val="center"/>
          </w:tcPr>
          <w:p>
            <w:pPr>
              <w:spacing w:line="300" w:lineRule="exact"/>
              <w:rPr>
                <w:rFonts w:eastAsia="仿宋_GB2312"/>
                <w:color w:val="000000"/>
                <w:sz w:val="27"/>
                <w:szCs w:val="27"/>
              </w:rPr>
            </w:pPr>
            <w:r>
              <w:rPr>
                <w:rFonts w:eastAsia="仿宋_GB2312"/>
                <w:color w:val="000000"/>
                <w:sz w:val="27"/>
                <w:szCs w:val="27"/>
              </w:rPr>
              <w:t>《医疗器械网络销售监督管理办法》第四十二条  医疗器械网络交易服务第三方平台提供者未按本办法规定备案的，由省级食品药品监督管理部门责令限期改正；拒不改正的，向社会公告，处3万元以下罚款。</w:t>
            </w:r>
          </w:p>
          <w:p>
            <w:pPr>
              <w:spacing w:line="300" w:lineRule="exact"/>
              <w:rPr>
                <w:rFonts w:eastAsia="仿宋_GB2312"/>
                <w:color w:val="000000"/>
                <w:sz w:val="27"/>
                <w:szCs w:val="27"/>
              </w:rPr>
            </w:pPr>
            <w:r>
              <w:rPr>
                <w:rFonts w:eastAsia="仿宋_GB2312"/>
                <w:color w:val="000000"/>
                <w:sz w:val="27"/>
                <w:szCs w:val="27"/>
              </w:rPr>
              <w:t>《医疗器械网络销售监督管理办法》第四十一条  有下列情形之一的，由县级以上地方食品药品监督管理部门责令改正，给予警告；拒不改正的，处5000元以上2万元以下罚款：（三）医疗器械网络交易服务第三方平台提供者备案事项发生变化未按规定办理变更的。</w:t>
            </w:r>
          </w:p>
        </w:tc>
        <w:tc>
          <w:tcPr>
            <w:tcW w:w="2694" w:type="dxa"/>
            <w:noWrap w:val="0"/>
            <w:vAlign w:val="center"/>
          </w:tcPr>
          <w:p>
            <w:pPr>
              <w:spacing w:line="300" w:lineRule="exact"/>
              <w:rPr>
                <w:rFonts w:eastAsia="仿宋_GB2312"/>
                <w:color w:val="000000"/>
                <w:sz w:val="27"/>
                <w:szCs w:val="27"/>
              </w:rPr>
            </w:pPr>
            <w:r>
              <w:rPr>
                <w:rFonts w:eastAsia="仿宋_GB2312"/>
                <w:color w:val="000000"/>
                <w:sz w:val="27"/>
                <w:szCs w:val="27"/>
              </w:rPr>
              <w:t>是否办理备案。</w:t>
            </w:r>
          </w:p>
        </w:tc>
        <w:tc>
          <w:tcPr>
            <w:tcW w:w="1984" w:type="dxa"/>
            <w:noWrap w:val="0"/>
            <w:vAlign w:val="top"/>
          </w:tcPr>
          <w:p>
            <w:pPr>
              <w:spacing w:line="300" w:lineRule="exact"/>
              <w:jc w:val="lef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85" w:type="dxa"/>
            <w:vMerge w:val="continue"/>
            <w:noWrap w:val="0"/>
            <w:vAlign w:val="center"/>
          </w:tcPr>
          <w:p>
            <w:pPr>
              <w:spacing w:line="300" w:lineRule="exact"/>
              <w:jc w:val="center"/>
              <w:rPr>
                <w:rFonts w:eastAsia="仿宋_GB2312"/>
                <w:color w:val="000000"/>
                <w:sz w:val="27"/>
                <w:szCs w:val="27"/>
              </w:rPr>
            </w:pPr>
          </w:p>
        </w:tc>
        <w:tc>
          <w:tcPr>
            <w:tcW w:w="1480" w:type="dxa"/>
            <w:vMerge w:val="continue"/>
            <w:noWrap w:val="0"/>
            <w:vAlign w:val="center"/>
          </w:tcPr>
          <w:p>
            <w:pPr>
              <w:spacing w:line="300" w:lineRule="exact"/>
              <w:rPr>
                <w:rFonts w:eastAsia="仿宋_GB2312"/>
                <w:color w:val="000000"/>
                <w:sz w:val="27"/>
                <w:szCs w:val="27"/>
              </w:rPr>
            </w:pPr>
          </w:p>
        </w:tc>
        <w:tc>
          <w:tcPr>
            <w:tcW w:w="4080" w:type="dxa"/>
            <w:vMerge w:val="continue"/>
            <w:noWrap w:val="0"/>
            <w:vAlign w:val="center"/>
          </w:tcPr>
          <w:p>
            <w:pPr>
              <w:spacing w:line="300" w:lineRule="exact"/>
              <w:rPr>
                <w:rFonts w:eastAsia="仿宋_GB2312"/>
                <w:color w:val="000000"/>
                <w:sz w:val="27"/>
                <w:szCs w:val="27"/>
              </w:rPr>
            </w:pPr>
          </w:p>
        </w:tc>
        <w:tc>
          <w:tcPr>
            <w:tcW w:w="3685" w:type="dxa"/>
            <w:vMerge w:val="continue"/>
            <w:noWrap w:val="0"/>
            <w:vAlign w:val="center"/>
          </w:tcPr>
          <w:p>
            <w:pPr>
              <w:spacing w:line="300" w:lineRule="exact"/>
              <w:rPr>
                <w:rFonts w:eastAsia="仿宋_GB2312"/>
                <w:color w:val="000000"/>
                <w:sz w:val="27"/>
                <w:szCs w:val="27"/>
              </w:rPr>
            </w:pPr>
          </w:p>
        </w:tc>
        <w:tc>
          <w:tcPr>
            <w:tcW w:w="2694" w:type="dxa"/>
            <w:noWrap w:val="0"/>
            <w:vAlign w:val="center"/>
          </w:tcPr>
          <w:p>
            <w:pPr>
              <w:spacing w:line="300" w:lineRule="exact"/>
              <w:rPr>
                <w:rFonts w:eastAsia="仿宋_GB2312"/>
                <w:color w:val="000000"/>
                <w:sz w:val="27"/>
                <w:szCs w:val="27"/>
              </w:rPr>
            </w:pPr>
            <w:r>
              <w:rPr>
                <w:rFonts w:eastAsia="仿宋_GB2312"/>
                <w:color w:val="000000"/>
                <w:sz w:val="27"/>
                <w:szCs w:val="27"/>
              </w:rPr>
              <w:t>相关备案情况发生变化时是否及时变更备案。</w:t>
            </w:r>
          </w:p>
        </w:tc>
        <w:tc>
          <w:tcPr>
            <w:tcW w:w="1984" w:type="dxa"/>
            <w:noWrap w:val="0"/>
            <w:vAlign w:val="top"/>
          </w:tcPr>
          <w:p>
            <w:pPr>
              <w:spacing w:line="300" w:lineRule="exact"/>
              <w:jc w:val="lef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noWrap w:val="0"/>
            <w:vAlign w:val="center"/>
          </w:tcPr>
          <w:p>
            <w:pPr>
              <w:spacing w:line="300" w:lineRule="exact"/>
              <w:jc w:val="center"/>
              <w:rPr>
                <w:rFonts w:eastAsia="仿宋_GB2312"/>
                <w:color w:val="000000"/>
                <w:sz w:val="27"/>
                <w:szCs w:val="27"/>
              </w:rPr>
            </w:pPr>
            <w:r>
              <w:rPr>
                <w:rFonts w:eastAsia="仿宋_GB2312"/>
                <w:color w:val="000000"/>
                <w:sz w:val="27"/>
                <w:szCs w:val="27"/>
              </w:rPr>
              <w:t>3</w:t>
            </w:r>
          </w:p>
        </w:tc>
        <w:tc>
          <w:tcPr>
            <w:tcW w:w="1480" w:type="dxa"/>
            <w:noWrap w:val="0"/>
            <w:vAlign w:val="center"/>
          </w:tcPr>
          <w:p>
            <w:pPr>
              <w:spacing w:line="300" w:lineRule="exact"/>
              <w:rPr>
                <w:rFonts w:eastAsia="仿宋_GB2312"/>
                <w:color w:val="000000"/>
                <w:sz w:val="27"/>
                <w:szCs w:val="27"/>
              </w:rPr>
            </w:pPr>
            <w:r>
              <w:rPr>
                <w:rFonts w:eastAsia="仿宋_GB2312"/>
                <w:color w:val="000000"/>
                <w:sz w:val="27"/>
                <w:szCs w:val="27"/>
              </w:rPr>
              <w:t>信息展示</w:t>
            </w:r>
          </w:p>
        </w:tc>
        <w:tc>
          <w:tcPr>
            <w:tcW w:w="4080" w:type="dxa"/>
            <w:noWrap w:val="0"/>
            <w:vAlign w:val="center"/>
          </w:tcPr>
          <w:p>
            <w:pPr>
              <w:spacing w:line="300" w:lineRule="exact"/>
              <w:rPr>
                <w:rFonts w:eastAsia="仿宋_GB2312"/>
                <w:color w:val="000000"/>
                <w:sz w:val="27"/>
                <w:szCs w:val="27"/>
              </w:rPr>
            </w:pPr>
            <w:r>
              <w:rPr>
                <w:rFonts w:eastAsia="仿宋_GB2312"/>
                <w:color w:val="000000"/>
                <w:sz w:val="27"/>
                <w:szCs w:val="27"/>
              </w:rPr>
              <w:t>《医疗器械网络销售监督管理办法》第十九条 医疗器械网络交易服务</w:t>
            </w:r>
            <w:r>
              <w:rPr>
                <w:rFonts w:eastAsia="仿宋_GB2312"/>
                <w:color w:val="000000"/>
                <w:kern w:val="0"/>
                <w:sz w:val="27"/>
                <w:szCs w:val="27"/>
              </w:rPr>
              <w:t>第三方</w:t>
            </w:r>
            <w:r>
              <w:rPr>
                <w:rFonts w:eastAsia="仿宋_GB2312"/>
                <w:color w:val="000000"/>
                <w:sz w:val="27"/>
                <w:szCs w:val="27"/>
              </w:rPr>
              <w:t>平台提供者，应当在其网站主页面显著位置标注医疗器械网络交易服务</w:t>
            </w:r>
            <w:r>
              <w:rPr>
                <w:rFonts w:eastAsia="仿宋_GB2312"/>
                <w:color w:val="000000"/>
                <w:kern w:val="0"/>
                <w:sz w:val="27"/>
                <w:szCs w:val="27"/>
              </w:rPr>
              <w:t>第三方</w:t>
            </w:r>
            <w:r>
              <w:rPr>
                <w:rFonts w:eastAsia="仿宋_GB2312"/>
                <w:color w:val="000000"/>
                <w:sz w:val="27"/>
                <w:szCs w:val="27"/>
              </w:rPr>
              <w:t>平台备案凭证的编号。</w:t>
            </w:r>
          </w:p>
        </w:tc>
        <w:tc>
          <w:tcPr>
            <w:tcW w:w="3685" w:type="dxa"/>
            <w:noWrap w:val="0"/>
            <w:vAlign w:val="center"/>
          </w:tcPr>
          <w:p>
            <w:pPr>
              <w:spacing w:line="300" w:lineRule="exact"/>
              <w:rPr>
                <w:rFonts w:eastAsia="仿宋_GB2312"/>
                <w:color w:val="000000"/>
                <w:sz w:val="27"/>
                <w:szCs w:val="27"/>
              </w:rPr>
            </w:pPr>
            <w:r>
              <w:rPr>
                <w:rFonts w:eastAsia="仿宋_GB2312"/>
                <w:color w:val="000000"/>
                <w:sz w:val="27"/>
                <w:szCs w:val="27"/>
              </w:rPr>
              <w:t>《医疗器械网络销售监督管理办法》第四十条 有下列情形之一的，由县级以上地方食品药品监督管理部门责令改正，给予警告；拒不改正的，处5000元以上1万元以下罚款：（二）医疗器械网络交易服务</w:t>
            </w:r>
            <w:r>
              <w:rPr>
                <w:rFonts w:eastAsia="仿宋_GB2312"/>
                <w:color w:val="000000"/>
                <w:kern w:val="0"/>
                <w:sz w:val="27"/>
                <w:szCs w:val="27"/>
              </w:rPr>
              <w:t>第三方</w:t>
            </w:r>
            <w:r>
              <w:rPr>
                <w:rFonts w:eastAsia="仿宋_GB2312"/>
                <w:color w:val="000000"/>
                <w:sz w:val="27"/>
                <w:szCs w:val="27"/>
              </w:rPr>
              <w:t>平台提供者未按照本办法要求展示医疗器械网络交易服务第三方平台备案凭证编号的。</w:t>
            </w:r>
          </w:p>
        </w:tc>
        <w:tc>
          <w:tcPr>
            <w:tcW w:w="2694" w:type="dxa"/>
            <w:noWrap w:val="0"/>
            <w:vAlign w:val="center"/>
          </w:tcPr>
          <w:p>
            <w:pPr>
              <w:spacing w:line="300" w:lineRule="exact"/>
              <w:rPr>
                <w:rFonts w:eastAsia="仿宋_GB2312"/>
                <w:color w:val="000000"/>
                <w:sz w:val="27"/>
                <w:szCs w:val="27"/>
              </w:rPr>
            </w:pPr>
            <w:r>
              <w:rPr>
                <w:rFonts w:eastAsia="仿宋_GB2312"/>
                <w:color w:val="000000"/>
                <w:sz w:val="27"/>
                <w:szCs w:val="27"/>
              </w:rPr>
              <w:t>是否按要求展示医疗器械网络交易服务</w:t>
            </w:r>
            <w:r>
              <w:rPr>
                <w:rFonts w:eastAsia="仿宋_GB2312"/>
                <w:color w:val="000000"/>
                <w:kern w:val="0"/>
                <w:sz w:val="27"/>
                <w:szCs w:val="27"/>
              </w:rPr>
              <w:t>第三方</w:t>
            </w:r>
            <w:r>
              <w:rPr>
                <w:rFonts w:eastAsia="仿宋_GB2312"/>
                <w:color w:val="000000"/>
                <w:sz w:val="27"/>
                <w:szCs w:val="27"/>
              </w:rPr>
              <w:t>平台备案凭证的编号。</w:t>
            </w:r>
          </w:p>
        </w:tc>
        <w:tc>
          <w:tcPr>
            <w:tcW w:w="1984" w:type="dxa"/>
            <w:noWrap w:val="0"/>
            <w:vAlign w:val="top"/>
          </w:tcPr>
          <w:p>
            <w:pPr>
              <w:spacing w:line="300" w:lineRule="exact"/>
              <w:jc w:val="lef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85" w:type="dxa"/>
            <w:noWrap w:val="0"/>
            <w:vAlign w:val="center"/>
          </w:tcPr>
          <w:p>
            <w:pPr>
              <w:spacing w:line="300" w:lineRule="exact"/>
              <w:jc w:val="center"/>
              <w:rPr>
                <w:rFonts w:eastAsia="仿宋_GB2312"/>
                <w:color w:val="000000"/>
                <w:sz w:val="27"/>
                <w:szCs w:val="27"/>
              </w:rPr>
            </w:pPr>
            <w:r>
              <w:rPr>
                <w:rFonts w:eastAsia="仿宋_GB2312"/>
                <w:color w:val="000000"/>
                <w:sz w:val="27"/>
                <w:szCs w:val="27"/>
              </w:rPr>
              <w:t>4</w:t>
            </w:r>
          </w:p>
        </w:tc>
        <w:tc>
          <w:tcPr>
            <w:tcW w:w="1480" w:type="dxa"/>
            <w:noWrap w:val="0"/>
            <w:vAlign w:val="center"/>
          </w:tcPr>
          <w:p>
            <w:pPr>
              <w:spacing w:line="300" w:lineRule="exact"/>
              <w:rPr>
                <w:rFonts w:eastAsia="仿宋_GB2312"/>
                <w:color w:val="000000"/>
                <w:sz w:val="27"/>
                <w:szCs w:val="27"/>
              </w:rPr>
            </w:pPr>
            <w:r>
              <w:rPr>
                <w:rFonts w:eastAsia="仿宋_GB2312"/>
                <w:color w:val="000000"/>
                <w:sz w:val="27"/>
                <w:szCs w:val="27"/>
              </w:rPr>
              <w:t>建立并执行管理制度</w:t>
            </w:r>
          </w:p>
        </w:tc>
        <w:tc>
          <w:tcPr>
            <w:tcW w:w="4080" w:type="dxa"/>
            <w:noWrap w:val="0"/>
            <w:vAlign w:val="center"/>
          </w:tcPr>
          <w:p>
            <w:pPr>
              <w:spacing w:line="300" w:lineRule="exact"/>
              <w:rPr>
                <w:rFonts w:eastAsia="仿宋_GB2312"/>
                <w:color w:val="000000"/>
                <w:sz w:val="27"/>
                <w:szCs w:val="27"/>
              </w:rPr>
            </w:pPr>
            <w:r>
              <w:rPr>
                <w:rFonts w:eastAsia="仿宋_GB2312"/>
                <w:color w:val="000000"/>
                <w:sz w:val="27"/>
                <w:szCs w:val="27"/>
              </w:rPr>
              <w:t>《医疗器械网络销售监督管理办法》第二十条 医疗器械网络交易服务第三方平台提供者应当建立包括入驻平台的企业核实登记、质量安全监测、交易安全保障、网络</w:t>
            </w:r>
            <w:r>
              <w:rPr>
                <w:rFonts w:eastAsia="仿宋_GB2312"/>
                <w:color w:val="000000"/>
                <w:kern w:val="0"/>
                <w:sz w:val="27"/>
                <w:szCs w:val="27"/>
              </w:rPr>
              <w:t>销售</w:t>
            </w:r>
            <w:r>
              <w:rPr>
                <w:rFonts w:eastAsia="仿宋_GB2312"/>
                <w:color w:val="000000"/>
                <w:sz w:val="27"/>
                <w:szCs w:val="27"/>
              </w:rPr>
              <w:t>违法行为制止及报告、严重违法行为平台服务停止、安全投诉举报处理、消费者权益保护、质量安全信息公告等管理制度。</w:t>
            </w:r>
          </w:p>
        </w:tc>
        <w:tc>
          <w:tcPr>
            <w:tcW w:w="3685" w:type="dxa"/>
            <w:vMerge w:val="restart"/>
            <w:noWrap w:val="0"/>
            <w:vAlign w:val="center"/>
          </w:tcPr>
          <w:p>
            <w:pPr>
              <w:spacing w:line="300" w:lineRule="exact"/>
              <w:rPr>
                <w:rFonts w:eastAsia="仿宋_GB2312"/>
                <w:color w:val="000000"/>
                <w:sz w:val="27"/>
                <w:szCs w:val="27"/>
              </w:rPr>
            </w:pPr>
            <w:r>
              <w:rPr>
                <w:rFonts w:eastAsia="仿宋_GB2312"/>
                <w:color w:val="000000"/>
                <w:sz w:val="27"/>
                <w:szCs w:val="27"/>
              </w:rPr>
              <w:t>《医疗器械网络销售监督管理办法》第四十一条 有下列情形之一的，由县级以上地方食品药品监督管理部门责令改正，给予警告；拒不改正的，处5000元以上2万元以下罚款：（五）医疗器械网络交易服务</w:t>
            </w:r>
            <w:r>
              <w:rPr>
                <w:rFonts w:eastAsia="仿宋_GB2312"/>
                <w:color w:val="000000"/>
                <w:kern w:val="0"/>
                <w:sz w:val="27"/>
                <w:szCs w:val="27"/>
              </w:rPr>
              <w:t>第三方</w:t>
            </w:r>
            <w:r>
              <w:rPr>
                <w:rFonts w:eastAsia="仿宋_GB2312"/>
                <w:color w:val="000000"/>
                <w:sz w:val="27"/>
                <w:szCs w:val="27"/>
              </w:rPr>
              <w:t>平台提供者未按规定建立并执行质量管理制度的。</w:t>
            </w:r>
          </w:p>
        </w:tc>
        <w:tc>
          <w:tcPr>
            <w:tcW w:w="2694" w:type="dxa"/>
            <w:noWrap w:val="0"/>
            <w:vAlign w:val="center"/>
          </w:tcPr>
          <w:p>
            <w:pPr>
              <w:spacing w:line="300" w:lineRule="exact"/>
              <w:rPr>
                <w:rFonts w:eastAsia="仿宋_GB2312"/>
                <w:color w:val="000000"/>
                <w:sz w:val="27"/>
                <w:szCs w:val="27"/>
              </w:rPr>
            </w:pPr>
            <w:r>
              <w:rPr>
                <w:rFonts w:eastAsia="仿宋_GB2312"/>
                <w:color w:val="000000"/>
                <w:sz w:val="27"/>
                <w:szCs w:val="27"/>
              </w:rPr>
              <w:t>是否建立对入驻平台的企业核实登记、质量安全监测、交易安全保障、网络</w:t>
            </w:r>
            <w:r>
              <w:rPr>
                <w:rFonts w:eastAsia="仿宋_GB2312"/>
                <w:color w:val="000000"/>
                <w:kern w:val="0"/>
                <w:sz w:val="27"/>
                <w:szCs w:val="27"/>
              </w:rPr>
              <w:t>销售</w:t>
            </w:r>
            <w:r>
              <w:rPr>
                <w:rFonts w:eastAsia="仿宋_GB2312"/>
                <w:color w:val="000000"/>
                <w:sz w:val="27"/>
                <w:szCs w:val="27"/>
              </w:rPr>
              <w:t>违法行为制止及报告、严重违法行为平台服务停止、安全投诉举报处理、消费者权益保护、质量安全信息公告等管理制度并有效执行。</w:t>
            </w:r>
          </w:p>
        </w:tc>
        <w:tc>
          <w:tcPr>
            <w:tcW w:w="1984" w:type="dxa"/>
            <w:noWrap w:val="0"/>
            <w:vAlign w:val="top"/>
          </w:tcPr>
          <w:p>
            <w:pPr>
              <w:spacing w:line="300" w:lineRule="exact"/>
              <w:jc w:val="lef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5" w:type="dxa"/>
            <w:vMerge w:val="restart"/>
            <w:noWrap w:val="0"/>
            <w:vAlign w:val="center"/>
          </w:tcPr>
          <w:p>
            <w:pPr>
              <w:spacing w:line="300" w:lineRule="exact"/>
              <w:jc w:val="center"/>
              <w:rPr>
                <w:rFonts w:eastAsia="仿宋_GB2312"/>
                <w:color w:val="000000"/>
                <w:sz w:val="27"/>
                <w:szCs w:val="27"/>
              </w:rPr>
            </w:pPr>
            <w:r>
              <w:rPr>
                <w:rFonts w:eastAsia="仿宋_GB2312"/>
                <w:color w:val="000000"/>
                <w:sz w:val="27"/>
                <w:szCs w:val="27"/>
              </w:rPr>
              <w:t>5</w:t>
            </w:r>
          </w:p>
        </w:tc>
        <w:tc>
          <w:tcPr>
            <w:tcW w:w="1480" w:type="dxa"/>
            <w:vMerge w:val="restart"/>
            <w:noWrap w:val="0"/>
            <w:vAlign w:val="center"/>
          </w:tcPr>
          <w:p>
            <w:pPr>
              <w:spacing w:line="300" w:lineRule="exact"/>
              <w:rPr>
                <w:rFonts w:eastAsia="仿宋_GB2312"/>
                <w:color w:val="000000"/>
                <w:sz w:val="27"/>
                <w:szCs w:val="27"/>
              </w:rPr>
            </w:pPr>
            <w:r>
              <w:rPr>
                <w:rFonts w:eastAsia="仿宋_GB2312"/>
                <w:color w:val="000000"/>
                <w:sz w:val="27"/>
                <w:szCs w:val="27"/>
              </w:rPr>
              <w:t>审核入驻企业资质</w:t>
            </w:r>
          </w:p>
        </w:tc>
        <w:tc>
          <w:tcPr>
            <w:tcW w:w="4080" w:type="dxa"/>
            <w:vMerge w:val="restart"/>
            <w:noWrap w:val="0"/>
            <w:vAlign w:val="center"/>
          </w:tcPr>
          <w:p>
            <w:pPr>
              <w:spacing w:line="300" w:lineRule="exact"/>
              <w:rPr>
                <w:rFonts w:eastAsia="仿宋_GB2312"/>
                <w:color w:val="000000"/>
                <w:sz w:val="27"/>
                <w:szCs w:val="27"/>
              </w:rPr>
            </w:pPr>
            <w:r>
              <w:rPr>
                <w:rFonts w:eastAsia="仿宋_GB2312"/>
                <w:color w:val="000000"/>
                <w:sz w:val="27"/>
                <w:szCs w:val="27"/>
              </w:rPr>
              <w:t>《医疗器械网络销售监督管理办法》第二十一条 医疗器械网络交易服务第三方平台提供者应当对申请入驻平台的企业提供的医疗器械生产经营许可证件或者备案凭证、医疗器械注册证或者备案凭证、企业营业执照等材料进行核实，建立档案并及时更新，保证入驻平台的企业许可证件或者备案凭证所载明的生产经营场所等许可或者备案信息真实。</w:t>
            </w:r>
          </w:p>
          <w:p>
            <w:pPr>
              <w:spacing w:line="300" w:lineRule="exact"/>
              <w:rPr>
                <w:rFonts w:eastAsia="仿宋_GB2312"/>
                <w:color w:val="000000"/>
                <w:sz w:val="27"/>
                <w:szCs w:val="27"/>
              </w:rPr>
            </w:pPr>
            <w:r>
              <w:rPr>
                <w:rFonts w:eastAsia="仿宋_GB2312"/>
                <w:color w:val="000000"/>
                <w:sz w:val="27"/>
                <w:szCs w:val="27"/>
              </w:rPr>
              <w:t>医疗器械网络交易服务</w:t>
            </w:r>
            <w:r>
              <w:rPr>
                <w:rFonts w:eastAsia="仿宋_GB2312"/>
                <w:color w:val="000000"/>
                <w:kern w:val="0"/>
                <w:sz w:val="27"/>
                <w:szCs w:val="27"/>
              </w:rPr>
              <w:t>第三方</w:t>
            </w:r>
            <w:r>
              <w:rPr>
                <w:rFonts w:eastAsia="仿宋_GB2312"/>
                <w:color w:val="000000"/>
                <w:sz w:val="27"/>
                <w:szCs w:val="27"/>
              </w:rPr>
              <w:t>平台提供者应当与入驻平台的企业签订入驻协议，并在协议中明确双方义务及违约处置措施等相关内容。</w:t>
            </w:r>
          </w:p>
        </w:tc>
        <w:tc>
          <w:tcPr>
            <w:tcW w:w="3685" w:type="dxa"/>
            <w:vMerge w:val="continue"/>
            <w:noWrap w:val="0"/>
            <w:vAlign w:val="center"/>
          </w:tcPr>
          <w:p>
            <w:pPr>
              <w:spacing w:line="300" w:lineRule="exact"/>
              <w:rPr>
                <w:rFonts w:eastAsia="仿宋_GB2312"/>
                <w:color w:val="000000"/>
                <w:sz w:val="27"/>
                <w:szCs w:val="27"/>
              </w:rPr>
            </w:pPr>
          </w:p>
        </w:tc>
        <w:tc>
          <w:tcPr>
            <w:tcW w:w="2694" w:type="dxa"/>
            <w:noWrap w:val="0"/>
            <w:vAlign w:val="center"/>
          </w:tcPr>
          <w:p>
            <w:pPr>
              <w:spacing w:line="300" w:lineRule="exact"/>
              <w:rPr>
                <w:rFonts w:eastAsia="仿宋_GB2312"/>
                <w:color w:val="000000"/>
                <w:sz w:val="27"/>
                <w:szCs w:val="27"/>
              </w:rPr>
            </w:pPr>
            <w:r>
              <w:rPr>
                <w:rFonts w:eastAsia="仿宋_GB2312"/>
                <w:color w:val="000000"/>
                <w:sz w:val="27"/>
                <w:szCs w:val="27"/>
              </w:rPr>
              <w:t>是否对入驻企业的许可资质进行核实。</w:t>
            </w:r>
          </w:p>
        </w:tc>
        <w:tc>
          <w:tcPr>
            <w:tcW w:w="1984" w:type="dxa"/>
            <w:noWrap w:val="0"/>
            <w:vAlign w:val="top"/>
          </w:tcPr>
          <w:p>
            <w:pPr>
              <w:spacing w:line="300" w:lineRule="exact"/>
              <w:jc w:val="lef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5" w:type="dxa"/>
            <w:vMerge w:val="continue"/>
            <w:noWrap w:val="0"/>
            <w:vAlign w:val="center"/>
          </w:tcPr>
          <w:p>
            <w:pPr>
              <w:spacing w:line="300" w:lineRule="exact"/>
              <w:jc w:val="center"/>
              <w:rPr>
                <w:rFonts w:eastAsia="仿宋_GB2312"/>
                <w:color w:val="000000"/>
                <w:sz w:val="27"/>
                <w:szCs w:val="27"/>
              </w:rPr>
            </w:pPr>
          </w:p>
        </w:tc>
        <w:tc>
          <w:tcPr>
            <w:tcW w:w="1480" w:type="dxa"/>
            <w:vMerge w:val="continue"/>
            <w:noWrap w:val="0"/>
            <w:vAlign w:val="center"/>
          </w:tcPr>
          <w:p>
            <w:pPr>
              <w:spacing w:line="300" w:lineRule="exact"/>
              <w:rPr>
                <w:rFonts w:eastAsia="仿宋_GB2312"/>
                <w:color w:val="000000"/>
                <w:sz w:val="27"/>
                <w:szCs w:val="27"/>
              </w:rPr>
            </w:pPr>
          </w:p>
        </w:tc>
        <w:tc>
          <w:tcPr>
            <w:tcW w:w="4080" w:type="dxa"/>
            <w:vMerge w:val="continue"/>
            <w:noWrap w:val="0"/>
            <w:vAlign w:val="center"/>
          </w:tcPr>
          <w:p>
            <w:pPr>
              <w:spacing w:line="300" w:lineRule="exact"/>
              <w:rPr>
                <w:rFonts w:eastAsia="仿宋_GB2312"/>
                <w:color w:val="000000"/>
                <w:sz w:val="27"/>
                <w:szCs w:val="27"/>
              </w:rPr>
            </w:pPr>
          </w:p>
        </w:tc>
        <w:tc>
          <w:tcPr>
            <w:tcW w:w="3685" w:type="dxa"/>
            <w:vMerge w:val="continue"/>
            <w:noWrap w:val="0"/>
            <w:vAlign w:val="center"/>
          </w:tcPr>
          <w:p>
            <w:pPr>
              <w:spacing w:line="300" w:lineRule="exact"/>
              <w:rPr>
                <w:rFonts w:eastAsia="仿宋_GB2312"/>
                <w:color w:val="000000"/>
                <w:sz w:val="27"/>
                <w:szCs w:val="27"/>
              </w:rPr>
            </w:pPr>
          </w:p>
        </w:tc>
        <w:tc>
          <w:tcPr>
            <w:tcW w:w="2694" w:type="dxa"/>
            <w:noWrap w:val="0"/>
            <w:vAlign w:val="center"/>
          </w:tcPr>
          <w:p>
            <w:pPr>
              <w:spacing w:line="300" w:lineRule="exact"/>
              <w:rPr>
                <w:rFonts w:eastAsia="仿宋_GB2312"/>
                <w:color w:val="000000"/>
                <w:sz w:val="27"/>
                <w:szCs w:val="27"/>
              </w:rPr>
            </w:pPr>
            <w:r>
              <w:rPr>
                <w:rFonts w:eastAsia="仿宋_GB2312"/>
                <w:color w:val="000000"/>
                <w:sz w:val="27"/>
                <w:szCs w:val="27"/>
              </w:rPr>
              <w:t>是否建立入驻企业档案，并及时更新企业信息。</w:t>
            </w:r>
          </w:p>
        </w:tc>
        <w:tc>
          <w:tcPr>
            <w:tcW w:w="1984" w:type="dxa"/>
            <w:noWrap w:val="0"/>
            <w:vAlign w:val="top"/>
          </w:tcPr>
          <w:p>
            <w:pPr>
              <w:spacing w:line="300" w:lineRule="exact"/>
              <w:jc w:val="lef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785" w:type="dxa"/>
            <w:vMerge w:val="continue"/>
            <w:noWrap w:val="0"/>
            <w:vAlign w:val="center"/>
          </w:tcPr>
          <w:p>
            <w:pPr>
              <w:spacing w:line="300" w:lineRule="exact"/>
              <w:jc w:val="center"/>
              <w:rPr>
                <w:rFonts w:eastAsia="仿宋_GB2312"/>
                <w:color w:val="000000"/>
                <w:sz w:val="27"/>
                <w:szCs w:val="27"/>
              </w:rPr>
            </w:pPr>
          </w:p>
        </w:tc>
        <w:tc>
          <w:tcPr>
            <w:tcW w:w="1480" w:type="dxa"/>
            <w:vMerge w:val="continue"/>
            <w:noWrap w:val="0"/>
            <w:vAlign w:val="center"/>
          </w:tcPr>
          <w:p>
            <w:pPr>
              <w:spacing w:line="300" w:lineRule="exact"/>
              <w:rPr>
                <w:rFonts w:eastAsia="仿宋_GB2312"/>
                <w:color w:val="000000"/>
                <w:sz w:val="27"/>
                <w:szCs w:val="27"/>
              </w:rPr>
            </w:pPr>
          </w:p>
        </w:tc>
        <w:tc>
          <w:tcPr>
            <w:tcW w:w="4080" w:type="dxa"/>
            <w:vMerge w:val="continue"/>
            <w:noWrap w:val="0"/>
            <w:vAlign w:val="center"/>
          </w:tcPr>
          <w:p>
            <w:pPr>
              <w:spacing w:line="300" w:lineRule="exact"/>
              <w:rPr>
                <w:rFonts w:eastAsia="仿宋_GB2312"/>
                <w:color w:val="000000"/>
                <w:sz w:val="27"/>
                <w:szCs w:val="27"/>
              </w:rPr>
            </w:pPr>
          </w:p>
        </w:tc>
        <w:tc>
          <w:tcPr>
            <w:tcW w:w="3685" w:type="dxa"/>
            <w:vMerge w:val="continue"/>
            <w:noWrap w:val="0"/>
            <w:vAlign w:val="center"/>
          </w:tcPr>
          <w:p>
            <w:pPr>
              <w:spacing w:line="300" w:lineRule="exact"/>
              <w:rPr>
                <w:rFonts w:eastAsia="仿宋_GB2312"/>
                <w:color w:val="000000"/>
                <w:sz w:val="27"/>
                <w:szCs w:val="27"/>
              </w:rPr>
            </w:pPr>
          </w:p>
        </w:tc>
        <w:tc>
          <w:tcPr>
            <w:tcW w:w="2694" w:type="dxa"/>
            <w:noWrap w:val="0"/>
            <w:vAlign w:val="center"/>
          </w:tcPr>
          <w:p>
            <w:pPr>
              <w:spacing w:line="300" w:lineRule="exact"/>
              <w:rPr>
                <w:rFonts w:eastAsia="仿宋_GB2312"/>
                <w:color w:val="000000"/>
                <w:sz w:val="27"/>
                <w:szCs w:val="27"/>
              </w:rPr>
            </w:pPr>
            <w:r>
              <w:rPr>
                <w:rFonts w:eastAsia="仿宋_GB2312"/>
                <w:color w:val="000000"/>
                <w:sz w:val="27"/>
                <w:szCs w:val="27"/>
              </w:rPr>
              <w:t>是否与入驻平台的企业签订入驻协议，并在协议中明确双方义务及违约处置措施等相关内容。</w:t>
            </w:r>
          </w:p>
        </w:tc>
        <w:tc>
          <w:tcPr>
            <w:tcW w:w="1984" w:type="dxa"/>
            <w:noWrap w:val="0"/>
            <w:vAlign w:val="top"/>
          </w:tcPr>
          <w:p>
            <w:pPr>
              <w:spacing w:line="300" w:lineRule="exact"/>
              <w:jc w:val="lef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785" w:type="dxa"/>
            <w:vMerge w:val="continue"/>
            <w:noWrap w:val="0"/>
            <w:vAlign w:val="center"/>
          </w:tcPr>
          <w:p>
            <w:pPr>
              <w:spacing w:line="300" w:lineRule="exact"/>
              <w:jc w:val="center"/>
              <w:rPr>
                <w:rFonts w:eastAsia="仿宋_GB2312"/>
                <w:color w:val="000000"/>
                <w:sz w:val="27"/>
                <w:szCs w:val="27"/>
              </w:rPr>
            </w:pPr>
          </w:p>
        </w:tc>
        <w:tc>
          <w:tcPr>
            <w:tcW w:w="1480" w:type="dxa"/>
            <w:vMerge w:val="continue"/>
            <w:noWrap w:val="0"/>
            <w:vAlign w:val="center"/>
          </w:tcPr>
          <w:p>
            <w:pPr>
              <w:spacing w:line="300" w:lineRule="exact"/>
              <w:rPr>
                <w:rFonts w:eastAsia="仿宋_GB2312"/>
                <w:color w:val="000000"/>
                <w:sz w:val="27"/>
                <w:szCs w:val="27"/>
              </w:rPr>
            </w:pPr>
          </w:p>
        </w:tc>
        <w:tc>
          <w:tcPr>
            <w:tcW w:w="4080" w:type="dxa"/>
            <w:vMerge w:val="continue"/>
            <w:noWrap w:val="0"/>
            <w:vAlign w:val="center"/>
          </w:tcPr>
          <w:p>
            <w:pPr>
              <w:spacing w:line="300" w:lineRule="exact"/>
              <w:rPr>
                <w:rFonts w:eastAsia="仿宋_GB2312"/>
                <w:color w:val="000000"/>
                <w:sz w:val="27"/>
                <w:szCs w:val="27"/>
              </w:rPr>
            </w:pPr>
          </w:p>
        </w:tc>
        <w:tc>
          <w:tcPr>
            <w:tcW w:w="3685" w:type="dxa"/>
            <w:vMerge w:val="continue"/>
            <w:noWrap w:val="0"/>
            <w:vAlign w:val="center"/>
          </w:tcPr>
          <w:p>
            <w:pPr>
              <w:spacing w:line="300" w:lineRule="exact"/>
              <w:rPr>
                <w:rFonts w:eastAsia="仿宋_GB2312"/>
                <w:color w:val="000000"/>
                <w:sz w:val="27"/>
                <w:szCs w:val="27"/>
              </w:rPr>
            </w:pPr>
          </w:p>
        </w:tc>
        <w:tc>
          <w:tcPr>
            <w:tcW w:w="2694" w:type="dxa"/>
            <w:noWrap w:val="0"/>
            <w:vAlign w:val="center"/>
          </w:tcPr>
          <w:p>
            <w:pPr>
              <w:spacing w:line="300" w:lineRule="exact"/>
              <w:rPr>
                <w:rFonts w:eastAsia="仿宋_GB2312"/>
                <w:color w:val="000000"/>
                <w:sz w:val="27"/>
                <w:szCs w:val="27"/>
              </w:rPr>
            </w:pPr>
            <w:r>
              <w:rPr>
                <w:rFonts w:eastAsia="仿宋_GB2312"/>
                <w:color w:val="000000"/>
                <w:sz w:val="27"/>
                <w:szCs w:val="27"/>
              </w:rPr>
              <w:t>是否存在未经许可（备案）的企业在平台内销售医疗器械的情况。</w:t>
            </w:r>
          </w:p>
        </w:tc>
        <w:tc>
          <w:tcPr>
            <w:tcW w:w="1984" w:type="dxa"/>
            <w:noWrap w:val="0"/>
            <w:vAlign w:val="top"/>
          </w:tcPr>
          <w:p>
            <w:pPr>
              <w:spacing w:line="300" w:lineRule="exact"/>
              <w:jc w:val="lef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noWrap w:val="0"/>
            <w:vAlign w:val="center"/>
          </w:tcPr>
          <w:p>
            <w:pPr>
              <w:spacing w:line="300" w:lineRule="exact"/>
              <w:jc w:val="center"/>
              <w:rPr>
                <w:rFonts w:eastAsia="仿宋_GB2312"/>
                <w:color w:val="000000"/>
                <w:sz w:val="27"/>
                <w:szCs w:val="27"/>
              </w:rPr>
            </w:pPr>
            <w:r>
              <w:rPr>
                <w:rFonts w:eastAsia="仿宋_GB2312"/>
                <w:color w:val="000000"/>
                <w:sz w:val="27"/>
                <w:szCs w:val="27"/>
              </w:rPr>
              <w:t>6</w:t>
            </w:r>
          </w:p>
        </w:tc>
        <w:tc>
          <w:tcPr>
            <w:tcW w:w="1480" w:type="dxa"/>
            <w:noWrap w:val="0"/>
            <w:vAlign w:val="center"/>
          </w:tcPr>
          <w:p>
            <w:pPr>
              <w:spacing w:line="300" w:lineRule="exact"/>
              <w:rPr>
                <w:rFonts w:eastAsia="仿宋_GB2312"/>
                <w:color w:val="000000"/>
                <w:sz w:val="27"/>
                <w:szCs w:val="27"/>
              </w:rPr>
            </w:pPr>
            <w:r>
              <w:rPr>
                <w:rFonts w:eastAsia="仿宋_GB2312"/>
                <w:color w:val="000000"/>
                <w:sz w:val="27"/>
                <w:szCs w:val="27"/>
              </w:rPr>
              <w:t>保存交易信息</w:t>
            </w:r>
          </w:p>
        </w:tc>
        <w:tc>
          <w:tcPr>
            <w:tcW w:w="4080" w:type="dxa"/>
            <w:noWrap w:val="0"/>
            <w:vAlign w:val="center"/>
          </w:tcPr>
          <w:p>
            <w:pPr>
              <w:spacing w:line="300" w:lineRule="exact"/>
              <w:rPr>
                <w:rFonts w:eastAsia="仿宋_GB2312"/>
                <w:color w:val="000000"/>
                <w:sz w:val="27"/>
                <w:szCs w:val="27"/>
              </w:rPr>
            </w:pPr>
            <w:r>
              <w:rPr>
                <w:rFonts w:eastAsia="仿宋_GB2312"/>
                <w:color w:val="000000"/>
                <w:sz w:val="27"/>
                <w:szCs w:val="27"/>
              </w:rPr>
              <w:t>《医疗器械网络销售监督管理办法》第二十二条 医疗器械网络交易服务第三方平台提供者应当记录在其平台上开展的医疗器械交易信息，记录应当保存至医疗器械有效期后2年；无有效期的，保存时间不得少于5年；植入类医疗器械交易信息应当永久保存。相关记录应当真实、完整、可追溯。</w:t>
            </w:r>
          </w:p>
        </w:tc>
        <w:tc>
          <w:tcPr>
            <w:tcW w:w="3685" w:type="dxa"/>
            <w:vMerge w:val="continue"/>
            <w:noWrap w:val="0"/>
            <w:vAlign w:val="center"/>
          </w:tcPr>
          <w:p>
            <w:pPr>
              <w:spacing w:line="300" w:lineRule="exact"/>
              <w:rPr>
                <w:rFonts w:eastAsia="仿宋_GB2312"/>
                <w:color w:val="000000"/>
                <w:sz w:val="27"/>
                <w:szCs w:val="27"/>
              </w:rPr>
            </w:pPr>
          </w:p>
        </w:tc>
        <w:tc>
          <w:tcPr>
            <w:tcW w:w="2694" w:type="dxa"/>
            <w:noWrap w:val="0"/>
            <w:vAlign w:val="center"/>
          </w:tcPr>
          <w:p>
            <w:pPr>
              <w:spacing w:line="300" w:lineRule="exact"/>
              <w:rPr>
                <w:rFonts w:eastAsia="仿宋_GB2312"/>
                <w:color w:val="000000"/>
                <w:sz w:val="27"/>
                <w:szCs w:val="27"/>
              </w:rPr>
            </w:pPr>
            <w:r>
              <w:rPr>
                <w:rFonts w:eastAsia="仿宋_GB2312"/>
                <w:color w:val="000000"/>
                <w:sz w:val="27"/>
                <w:szCs w:val="27"/>
              </w:rPr>
              <w:t>是否按规定记录医疗器械交易并按照期限保存相关记录。</w:t>
            </w:r>
          </w:p>
        </w:tc>
        <w:tc>
          <w:tcPr>
            <w:tcW w:w="1984" w:type="dxa"/>
            <w:noWrap w:val="0"/>
            <w:vAlign w:val="top"/>
          </w:tcPr>
          <w:p>
            <w:pPr>
              <w:spacing w:line="300" w:lineRule="exact"/>
              <w:jc w:val="lef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785" w:type="dxa"/>
            <w:vMerge w:val="restart"/>
            <w:noWrap w:val="0"/>
            <w:vAlign w:val="center"/>
          </w:tcPr>
          <w:p>
            <w:pPr>
              <w:spacing w:line="300" w:lineRule="exact"/>
              <w:jc w:val="center"/>
              <w:rPr>
                <w:rFonts w:eastAsia="仿宋_GB2312"/>
                <w:color w:val="000000"/>
                <w:sz w:val="27"/>
                <w:szCs w:val="27"/>
              </w:rPr>
            </w:pPr>
            <w:r>
              <w:rPr>
                <w:rFonts w:eastAsia="仿宋_GB2312"/>
                <w:color w:val="000000"/>
                <w:sz w:val="27"/>
                <w:szCs w:val="27"/>
              </w:rPr>
              <w:t>7</w:t>
            </w:r>
          </w:p>
        </w:tc>
        <w:tc>
          <w:tcPr>
            <w:tcW w:w="1480" w:type="dxa"/>
            <w:vMerge w:val="restart"/>
            <w:noWrap w:val="0"/>
            <w:vAlign w:val="center"/>
          </w:tcPr>
          <w:p>
            <w:pPr>
              <w:spacing w:line="300" w:lineRule="exact"/>
              <w:rPr>
                <w:rFonts w:eastAsia="仿宋_GB2312"/>
                <w:color w:val="000000"/>
                <w:sz w:val="27"/>
                <w:szCs w:val="27"/>
              </w:rPr>
            </w:pPr>
            <w:r>
              <w:rPr>
                <w:rFonts w:eastAsia="仿宋_GB2312"/>
                <w:color w:val="000000"/>
                <w:sz w:val="27"/>
                <w:szCs w:val="27"/>
              </w:rPr>
              <w:t>规范入驻企业行为</w:t>
            </w:r>
          </w:p>
        </w:tc>
        <w:tc>
          <w:tcPr>
            <w:tcW w:w="4080" w:type="dxa"/>
            <w:vMerge w:val="restart"/>
            <w:noWrap w:val="0"/>
            <w:vAlign w:val="center"/>
          </w:tcPr>
          <w:p>
            <w:pPr>
              <w:spacing w:line="280" w:lineRule="exact"/>
              <w:rPr>
                <w:rFonts w:eastAsia="仿宋_GB2312"/>
                <w:color w:val="000000"/>
                <w:sz w:val="27"/>
                <w:szCs w:val="27"/>
              </w:rPr>
            </w:pPr>
            <w:r>
              <w:rPr>
                <w:rFonts w:eastAsia="仿宋_GB2312"/>
                <w:color w:val="000000"/>
                <w:sz w:val="27"/>
                <w:szCs w:val="27"/>
              </w:rPr>
              <w:t>《医疗器械网络销售监督管理办法》第二十三条 医疗器械网络交易服务第三方平台提供者应当对平台上的医疗器械销售行为及信息进行监测，发现入驻网络交易服务第三方平台的企业存在超范围经营、发布虚假信息、夸大宣传等违法违规行为、无法取得联系或者存在其他严重安全隐患的，应当立即对其停止网络交易服务，并保存有关记录，向所在地省级食品药品监督管理部门报告。</w:t>
            </w:r>
          </w:p>
          <w:p>
            <w:pPr>
              <w:spacing w:line="280" w:lineRule="exact"/>
              <w:ind w:firstLine="556"/>
              <w:rPr>
                <w:rFonts w:eastAsia="仿宋_GB2312"/>
                <w:color w:val="000000"/>
                <w:sz w:val="27"/>
                <w:szCs w:val="27"/>
              </w:rPr>
            </w:pPr>
            <w:r>
              <w:rPr>
                <w:rFonts w:eastAsia="仿宋_GB2312"/>
                <w:color w:val="000000"/>
                <w:sz w:val="27"/>
                <w:szCs w:val="27"/>
              </w:rPr>
              <w:t>发现入驻网络交易服务</w:t>
            </w:r>
            <w:r>
              <w:rPr>
                <w:rFonts w:eastAsia="仿宋_GB2312"/>
                <w:color w:val="000000"/>
                <w:kern w:val="0"/>
                <w:sz w:val="27"/>
                <w:szCs w:val="27"/>
              </w:rPr>
              <w:t>第三方</w:t>
            </w:r>
            <w:r>
              <w:rPr>
                <w:rFonts w:eastAsia="仿宋_GB2312"/>
                <w:color w:val="000000"/>
                <w:sz w:val="27"/>
                <w:szCs w:val="27"/>
              </w:rPr>
              <w:t>平台的企业被食品药品监督管理部门责令停产停业、吊销许可证件等处罚，或者平台交易的产品被食品药品监督管理部门暂停销售或者停止销售的，应当立即停止提供相关网络交易服务。</w:t>
            </w:r>
          </w:p>
        </w:tc>
        <w:tc>
          <w:tcPr>
            <w:tcW w:w="3685" w:type="dxa"/>
            <w:vMerge w:val="continue"/>
            <w:noWrap w:val="0"/>
            <w:vAlign w:val="center"/>
          </w:tcPr>
          <w:p>
            <w:pPr>
              <w:spacing w:line="300" w:lineRule="exact"/>
              <w:rPr>
                <w:rFonts w:eastAsia="仿宋_GB2312"/>
                <w:color w:val="000000"/>
                <w:sz w:val="27"/>
                <w:szCs w:val="27"/>
              </w:rPr>
            </w:pPr>
          </w:p>
        </w:tc>
        <w:tc>
          <w:tcPr>
            <w:tcW w:w="2694" w:type="dxa"/>
            <w:noWrap w:val="0"/>
            <w:vAlign w:val="center"/>
          </w:tcPr>
          <w:p>
            <w:pPr>
              <w:spacing w:line="300" w:lineRule="exact"/>
              <w:rPr>
                <w:rFonts w:eastAsia="仿宋_GB2312"/>
                <w:color w:val="000000"/>
                <w:sz w:val="27"/>
                <w:szCs w:val="27"/>
              </w:rPr>
            </w:pPr>
            <w:r>
              <w:rPr>
                <w:rFonts w:eastAsia="仿宋_GB2312"/>
                <w:color w:val="000000"/>
                <w:sz w:val="27"/>
                <w:szCs w:val="27"/>
              </w:rPr>
              <w:t>是否建立网络销售过程监控程序、制度，相关程序、制度是否明确相应管理机构或人员对入驻企业进行监测以及入驻企业违规行为处置等内容，保障入驻企业违法行为能及时识别并有效处置。</w:t>
            </w:r>
          </w:p>
        </w:tc>
        <w:tc>
          <w:tcPr>
            <w:tcW w:w="1984" w:type="dxa"/>
            <w:noWrap w:val="0"/>
            <w:vAlign w:val="top"/>
          </w:tcPr>
          <w:p>
            <w:pPr>
              <w:spacing w:line="300" w:lineRule="exact"/>
              <w:jc w:val="lef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85" w:type="dxa"/>
            <w:vMerge w:val="continue"/>
            <w:noWrap w:val="0"/>
            <w:vAlign w:val="center"/>
          </w:tcPr>
          <w:p>
            <w:pPr>
              <w:spacing w:line="300" w:lineRule="exact"/>
              <w:jc w:val="center"/>
              <w:rPr>
                <w:rFonts w:eastAsia="仿宋_GB2312"/>
                <w:color w:val="000000"/>
                <w:sz w:val="27"/>
                <w:szCs w:val="27"/>
              </w:rPr>
            </w:pPr>
          </w:p>
        </w:tc>
        <w:tc>
          <w:tcPr>
            <w:tcW w:w="1480" w:type="dxa"/>
            <w:vMerge w:val="continue"/>
            <w:noWrap w:val="0"/>
            <w:vAlign w:val="center"/>
          </w:tcPr>
          <w:p>
            <w:pPr>
              <w:spacing w:line="300" w:lineRule="exact"/>
              <w:rPr>
                <w:rFonts w:eastAsia="仿宋_GB2312"/>
                <w:color w:val="000000"/>
                <w:sz w:val="27"/>
                <w:szCs w:val="27"/>
              </w:rPr>
            </w:pPr>
          </w:p>
        </w:tc>
        <w:tc>
          <w:tcPr>
            <w:tcW w:w="4080" w:type="dxa"/>
            <w:vMerge w:val="continue"/>
            <w:noWrap w:val="0"/>
            <w:vAlign w:val="center"/>
          </w:tcPr>
          <w:p>
            <w:pPr>
              <w:spacing w:line="300" w:lineRule="exact"/>
              <w:rPr>
                <w:rFonts w:eastAsia="仿宋_GB2312"/>
                <w:color w:val="000000"/>
                <w:sz w:val="27"/>
                <w:szCs w:val="27"/>
              </w:rPr>
            </w:pPr>
          </w:p>
        </w:tc>
        <w:tc>
          <w:tcPr>
            <w:tcW w:w="3685" w:type="dxa"/>
            <w:vMerge w:val="continue"/>
            <w:noWrap w:val="0"/>
            <w:vAlign w:val="center"/>
          </w:tcPr>
          <w:p>
            <w:pPr>
              <w:spacing w:line="300" w:lineRule="exact"/>
              <w:rPr>
                <w:rFonts w:eastAsia="仿宋_GB2312"/>
                <w:color w:val="000000"/>
                <w:sz w:val="27"/>
                <w:szCs w:val="27"/>
              </w:rPr>
            </w:pPr>
          </w:p>
        </w:tc>
        <w:tc>
          <w:tcPr>
            <w:tcW w:w="2694" w:type="dxa"/>
            <w:noWrap w:val="0"/>
            <w:vAlign w:val="center"/>
          </w:tcPr>
          <w:p>
            <w:pPr>
              <w:spacing w:line="300" w:lineRule="exact"/>
              <w:rPr>
                <w:rFonts w:eastAsia="仿宋_GB2312"/>
                <w:color w:val="000000"/>
                <w:sz w:val="27"/>
                <w:szCs w:val="27"/>
              </w:rPr>
            </w:pPr>
            <w:r>
              <w:rPr>
                <w:rFonts w:eastAsia="仿宋_GB2312"/>
                <w:color w:val="000000"/>
                <w:sz w:val="27"/>
                <w:szCs w:val="27"/>
              </w:rPr>
              <w:t>入驻平台的企业是否存在销售未经注册医疗器械、超范围经营、发布虚假信息等违法违规行为。</w:t>
            </w:r>
          </w:p>
        </w:tc>
        <w:tc>
          <w:tcPr>
            <w:tcW w:w="1984" w:type="dxa"/>
            <w:noWrap w:val="0"/>
            <w:vAlign w:val="top"/>
          </w:tcPr>
          <w:p>
            <w:pPr>
              <w:spacing w:line="300" w:lineRule="exact"/>
              <w:jc w:val="lef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85" w:type="dxa"/>
            <w:vMerge w:val="continue"/>
            <w:noWrap w:val="0"/>
            <w:vAlign w:val="center"/>
          </w:tcPr>
          <w:p>
            <w:pPr>
              <w:spacing w:line="300" w:lineRule="exact"/>
              <w:jc w:val="center"/>
              <w:rPr>
                <w:rFonts w:eastAsia="仿宋_GB2312"/>
                <w:color w:val="000000"/>
                <w:sz w:val="27"/>
                <w:szCs w:val="27"/>
              </w:rPr>
            </w:pPr>
          </w:p>
        </w:tc>
        <w:tc>
          <w:tcPr>
            <w:tcW w:w="1480" w:type="dxa"/>
            <w:vMerge w:val="continue"/>
            <w:noWrap w:val="0"/>
            <w:vAlign w:val="center"/>
          </w:tcPr>
          <w:p>
            <w:pPr>
              <w:spacing w:line="300" w:lineRule="exact"/>
              <w:rPr>
                <w:rFonts w:eastAsia="仿宋_GB2312"/>
                <w:color w:val="000000"/>
                <w:sz w:val="27"/>
                <w:szCs w:val="27"/>
              </w:rPr>
            </w:pPr>
          </w:p>
        </w:tc>
        <w:tc>
          <w:tcPr>
            <w:tcW w:w="4080" w:type="dxa"/>
            <w:vMerge w:val="continue"/>
            <w:noWrap w:val="0"/>
            <w:vAlign w:val="center"/>
          </w:tcPr>
          <w:p>
            <w:pPr>
              <w:spacing w:line="300" w:lineRule="exact"/>
              <w:rPr>
                <w:rFonts w:eastAsia="仿宋_GB2312"/>
                <w:color w:val="000000"/>
                <w:sz w:val="27"/>
                <w:szCs w:val="27"/>
              </w:rPr>
            </w:pPr>
          </w:p>
        </w:tc>
        <w:tc>
          <w:tcPr>
            <w:tcW w:w="3685" w:type="dxa"/>
            <w:vMerge w:val="continue"/>
            <w:noWrap w:val="0"/>
            <w:vAlign w:val="center"/>
          </w:tcPr>
          <w:p>
            <w:pPr>
              <w:spacing w:line="300" w:lineRule="exact"/>
              <w:rPr>
                <w:rFonts w:eastAsia="仿宋_GB2312"/>
                <w:color w:val="000000"/>
                <w:sz w:val="27"/>
                <w:szCs w:val="27"/>
              </w:rPr>
            </w:pPr>
          </w:p>
        </w:tc>
        <w:tc>
          <w:tcPr>
            <w:tcW w:w="2694" w:type="dxa"/>
            <w:noWrap w:val="0"/>
            <w:vAlign w:val="center"/>
          </w:tcPr>
          <w:p>
            <w:pPr>
              <w:spacing w:line="300" w:lineRule="exact"/>
              <w:rPr>
                <w:rFonts w:eastAsia="仿宋_GB2312"/>
                <w:color w:val="000000"/>
                <w:sz w:val="27"/>
                <w:szCs w:val="27"/>
              </w:rPr>
            </w:pPr>
            <w:r>
              <w:rPr>
                <w:rFonts w:eastAsia="仿宋_GB2312"/>
                <w:color w:val="000000"/>
                <w:sz w:val="27"/>
                <w:szCs w:val="27"/>
              </w:rPr>
              <w:t>对发现的违法违规行为是否按规定处置。</w:t>
            </w:r>
          </w:p>
        </w:tc>
        <w:tc>
          <w:tcPr>
            <w:tcW w:w="1984" w:type="dxa"/>
            <w:noWrap w:val="0"/>
            <w:vAlign w:val="top"/>
          </w:tcPr>
          <w:p>
            <w:pPr>
              <w:spacing w:line="300" w:lineRule="exact"/>
              <w:jc w:val="lef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85" w:type="dxa"/>
            <w:noWrap w:val="0"/>
            <w:vAlign w:val="center"/>
          </w:tcPr>
          <w:p>
            <w:pPr>
              <w:spacing w:line="300" w:lineRule="exact"/>
              <w:jc w:val="center"/>
              <w:rPr>
                <w:rFonts w:eastAsia="仿宋_GB2312"/>
                <w:color w:val="000000"/>
                <w:sz w:val="27"/>
                <w:szCs w:val="27"/>
              </w:rPr>
            </w:pPr>
            <w:r>
              <w:rPr>
                <w:rFonts w:eastAsia="仿宋_GB2312"/>
                <w:color w:val="000000"/>
                <w:sz w:val="27"/>
                <w:szCs w:val="27"/>
              </w:rPr>
              <w:t>8</w:t>
            </w:r>
          </w:p>
        </w:tc>
        <w:tc>
          <w:tcPr>
            <w:tcW w:w="1480" w:type="dxa"/>
            <w:noWrap w:val="0"/>
            <w:vAlign w:val="center"/>
          </w:tcPr>
          <w:p>
            <w:pPr>
              <w:spacing w:line="300" w:lineRule="exact"/>
              <w:rPr>
                <w:rFonts w:eastAsia="仿宋_GB2312"/>
                <w:color w:val="000000"/>
                <w:sz w:val="27"/>
                <w:szCs w:val="27"/>
              </w:rPr>
            </w:pPr>
            <w:r>
              <w:rPr>
                <w:rFonts w:eastAsia="仿宋_GB2312"/>
                <w:color w:val="000000"/>
                <w:sz w:val="27"/>
                <w:szCs w:val="27"/>
              </w:rPr>
              <w:t>发布安全信息</w:t>
            </w:r>
          </w:p>
        </w:tc>
        <w:tc>
          <w:tcPr>
            <w:tcW w:w="4080" w:type="dxa"/>
            <w:noWrap w:val="0"/>
            <w:vAlign w:val="center"/>
          </w:tcPr>
          <w:p>
            <w:pPr>
              <w:spacing w:line="300" w:lineRule="exact"/>
              <w:rPr>
                <w:rFonts w:eastAsia="仿宋_GB2312"/>
                <w:color w:val="000000"/>
                <w:sz w:val="27"/>
                <w:szCs w:val="27"/>
              </w:rPr>
            </w:pPr>
            <w:r>
              <w:rPr>
                <w:rFonts w:eastAsia="仿宋_GB2312"/>
                <w:color w:val="000000"/>
                <w:sz w:val="27"/>
                <w:szCs w:val="27"/>
              </w:rPr>
              <w:t>《医疗器械网络销售监督管理办法》第二十四条 医疗器械网络交易服务第三方平台提供者应当在网站醒目位置及时发布产品质量安全隐患等相关信息。</w:t>
            </w:r>
          </w:p>
        </w:tc>
        <w:tc>
          <w:tcPr>
            <w:tcW w:w="3685" w:type="dxa"/>
            <w:vMerge w:val="continue"/>
            <w:noWrap w:val="0"/>
            <w:vAlign w:val="center"/>
          </w:tcPr>
          <w:p>
            <w:pPr>
              <w:spacing w:line="300" w:lineRule="exact"/>
              <w:rPr>
                <w:rFonts w:eastAsia="仿宋_GB2312"/>
                <w:color w:val="000000"/>
                <w:sz w:val="27"/>
                <w:szCs w:val="27"/>
              </w:rPr>
            </w:pPr>
          </w:p>
        </w:tc>
        <w:tc>
          <w:tcPr>
            <w:tcW w:w="2694" w:type="dxa"/>
            <w:noWrap w:val="0"/>
            <w:vAlign w:val="center"/>
          </w:tcPr>
          <w:p>
            <w:pPr>
              <w:spacing w:line="300" w:lineRule="exact"/>
              <w:rPr>
                <w:rFonts w:eastAsia="仿宋_GB2312"/>
                <w:color w:val="000000"/>
                <w:sz w:val="27"/>
                <w:szCs w:val="27"/>
              </w:rPr>
            </w:pPr>
            <w:r>
              <w:rPr>
                <w:rFonts w:eastAsia="仿宋_GB2312"/>
                <w:color w:val="000000"/>
                <w:sz w:val="27"/>
                <w:szCs w:val="27"/>
              </w:rPr>
              <w:t>是否建立并执行产品质量安全信息获取和发布的程序或制度。</w:t>
            </w:r>
          </w:p>
        </w:tc>
        <w:tc>
          <w:tcPr>
            <w:tcW w:w="1984" w:type="dxa"/>
            <w:noWrap w:val="0"/>
            <w:vAlign w:val="top"/>
          </w:tcPr>
          <w:p>
            <w:pPr>
              <w:spacing w:line="300" w:lineRule="exact"/>
              <w:jc w:val="left"/>
              <w:rPr>
                <w:rFonts w:eastAsia="仿宋_GB2312"/>
                <w:color w:val="000000"/>
                <w:sz w:val="27"/>
                <w:szCs w:val="27"/>
              </w:rPr>
            </w:pPr>
          </w:p>
        </w:tc>
      </w:tr>
    </w:tbl>
    <w:p>
      <w:pPr>
        <w:spacing w:line="520" w:lineRule="exact"/>
        <w:rPr>
          <w:rFonts w:eastAsia="仿宋_GB2312"/>
          <w:color w:val="000000"/>
          <w:spacing w:val="-24"/>
          <w:sz w:val="32"/>
          <w:szCs w:val="32"/>
        </w:rPr>
      </w:pPr>
      <w:r>
        <w:rPr>
          <w:rFonts w:eastAsia="仿宋_GB2312"/>
          <w:color w:val="000000"/>
          <w:sz w:val="27"/>
          <w:szCs w:val="27"/>
        </w:rPr>
        <w:t>法定代表人或主要负责人：                             检查日期：</w:t>
      </w:r>
    </w:p>
    <w:p>
      <w:r>
        <w:rPr>
          <w:rFonts w:eastAsia="黑体"/>
          <w:color w:val="000000"/>
          <w:spacing w:val="-24"/>
          <w:sz w:val="32"/>
          <w:szCs w:val="32"/>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22394"/>
    <w:rsid w:val="39A2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2020-05-26T06:17:00Z</dcterms:created>
  <dc:creator>吴建平</dc:creator>
  <cp:lastModifiedBy>吴建平</cp:lastModifiedBy>
  <dcterms:modified xsi:type="dcterms:W3CDTF">2020-05-26T06:17:40Z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