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Times New Roman"/>
          <w:b/>
          <w:bCs/>
          <w:sz w:val="32"/>
        </w:rPr>
      </w:pPr>
    </w:p>
    <w:p>
      <w:pPr>
        <w:rPr>
          <w:rFonts w:hint="eastAsia" w:ascii="宋体" w:hAnsi="Times New Roman"/>
          <w:b/>
          <w:bCs/>
          <w:sz w:val="32"/>
        </w:rPr>
      </w:pPr>
      <w:bookmarkStart w:id="0" w:name="_GoBack"/>
      <w:r>
        <w:rPr>
          <w:rFonts w:hint="eastAsia" w:ascii="宋体" w:hAnsi="Times New Roman"/>
          <w:b/>
          <w:bCs/>
          <w:sz w:val="32"/>
        </w:rPr>
        <w:t>附表十八：体外诊断试剂质量监督抽验结果（合格名单）</w:t>
      </w:r>
    </w:p>
    <w:bookmarkEnd w:id="0"/>
    <w:p>
      <w:pPr>
        <w:rPr>
          <w:rFonts w:hint="eastAsia" w:ascii="宋体" w:hAnsi="Times New Roman"/>
          <w:b/>
          <w:bCs/>
          <w:sz w:val="32"/>
        </w:rPr>
      </w:pPr>
    </w:p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直接胆红素检测试剂盒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（钒酸盐氧化法）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贵州医科大学附属白云医院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重庆中元生物技术有限公司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R1：48mL×2 R2：12mL×2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200302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白蛋白检测试剂盒（溴甲酚绿法）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贵州华夏时代医疗器械有限公司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美康生物科技股份有限公司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210mL(3×70mL)；校准品：1×1mL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200220301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葡萄糖检测试剂盒（已糖激酶法）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贵州信达利生物科技有限公司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重庆中元生物技术有限公司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R1 48mL×2  R2 12mL×2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200601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白蛋白检测试剂盒（溴甲酚绿法）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贵州信达利生物科技有限公司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重庆中元生物技术有限公司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R:60mL×2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200304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SCY200440</w:t>
            </w:r>
          </w:p>
        </w:tc>
      </w:tr>
    </w:tbl>
    <w:p>
      <w:pPr>
        <w:rPr>
          <w:rFonts w:hint="eastAsia" w:ascii="宋体" w:hAnsi="Times New Roman"/>
          <w:b w:val="0"/>
          <w:bCs w:val="0"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B2ACA"/>
    <w:rsid w:val="2E3B2A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2020-12-03T09:11:00Z</dcterms:created>
  <dc:creator>AdministratorPC</dc:creator>
  <cp:lastModifiedBy>AdministratorPC</cp:lastModifiedBy>
  <dcterms:modified xsi:type="dcterms:W3CDTF">2020-12-03T09:12:14Z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