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BEC" w:rsidRPr="00082BEC" w:rsidRDefault="00082BEC" w:rsidP="00082BEC">
      <w:pPr>
        <w:spacing w:line="594" w:lineRule="exact"/>
        <w:rPr>
          <w:rFonts w:ascii="黑体" w:eastAsia="黑体" w:hAnsi="黑体"/>
          <w:sz w:val="32"/>
          <w:szCs w:val="32"/>
        </w:rPr>
      </w:pPr>
      <w:bookmarkStart w:id="0" w:name="fldWJNR2"/>
      <w:r w:rsidRPr="00082BEC">
        <w:rPr>
          <w:rFonts w:ascii="黑体" w:eastAsia="黑体" w:hAnsi="黑体" w:hint="eastAsia"/>
          <w:sz w:val="32"/>
          <w:szCs w:val="32"/>
        </w:rPr>
        <w:t xml:space="preserve">中文名称：特定全营养配方食品临床试验技术指导原则 </w:t>
      </w:r>
      <w:r>
        <w:rPr>
          <w:rFonts w:ascii="黑体" w:eastAsia="黑体" w:hAnsi="黑体" w:hint="eastAsia"/>
          <w:sz w:val="32"/>
          <w:szCs w:val="32"/>
        </w:rPr>
        <w:t>肾病</w:t>
      </w:r>
    </w:p>
    <w:p w:rsidR="00082BEC" w:rsidRPr="00082BEC" w:rsidRDefault="00082BEC" w:rsidP="00082BEC">
      <w:pPr>
        <w:spacing w:line="594" w:lineRule="exact"/>
        <w:rPr>
          <w:rFonts w:ascii="黑体" w:eastAsia="黑体" w:hAnsi="黑体"/>
          <w:sz w:val="32"/>
          <w:szCs w:val="32"/>
        </w:rPr>
      </w:pPr>
      <w:r w:rsidRPr="00082BEC">
        <w:rPr>
          <w:rFonts w:ascii="黑体" w:eastAsia="黑体" w:hAnsi="黑体" w:hint="eastAsia"/>
          <w:sz w:val="32"/>
          <w:szCs w:val="32"/>
        </w:rPr>
        <w:t xml:space="preserve">英文名称：Principle of Clinical Trial Guideline on Specific Nutritionally Complete Food </w:t>
      </w:r>
      <w:r>
        <w:rPr>
          <w:rFonts w:ascii="黑体" w:eastAsia="黑体" w:hAnsi="黑体"/>
          <w:sz w:val="32"/>
          <w:szCs w:val="32"/>
        </w:rPr>
        <w:t>N</w:t>
      </w:r>
      <w:r w:rsidRPr="00082BEC">
        <w:rPr>
          <w:rFonts w:ascii="黑体" w:eastAsia="黑体" w:hAnsi="黑体"/>
          <w:sz w:val="32"/>
          <w:szCs w:val="32"/>
        </w:rPr>
        <w:t>ephropathy</w:t>
      </w:r>
    </w:p>
    <w:p w:rsidR="00082BEC" w:rsidRPr="00082BEC" w:rsidRDefault="00082BEC" w:rsidP="00082BEC">
      <w:pPr>
        <w:spacing w:line="594" w:lineRule="exact"/>
        <w:rPr>
          <w:rFonts w:ascii="黑体" w:eastAsia="黑体" w:hAnsi="黑体"/>
          <w:sz w:val="32"/>
          <w:szCs w:val="32"/>
        </w:rPr>
      </w:pPr>
      <w:r w:rsidRPr="00082BEC">
        <w:rPr>
          <w:rFonts w:ascii="黑体" w:eastAsia="黑体" w:hAnsi="黑体" w:hint="eastAsia"/>
          <w:sz w:val="32"/>
          <w:szCs w:val="32"/>
        </w:rPr>
        <w:t>状态：现行有效</w:t>
      </w:r>
    </w:p>
    <w:p w:rsidR="00082BEC" w:rsidRDefault="00082BEC" w:rsidP="00082BEC">
      <w:pPr>
        <w:spacing w:line="594" w:lineRule="exact"/>
        <w:rPr>
          <w:rFonts w:ascii="黑体" w:eastAsia="黑体" w:hAnsi="黑体"/>
          <w:sz w:val="32"/>
          <w:szCs w:val="32"/>
        </w:rPr>
      </w:pPr>
      <w:r w:rsidRPr="00082BEC">
        <w:rPr>
          <w:rFonts w:ascii="黑体" w:eastAsia="黑体" w:hAnsi="黑体" w:hint="eastAsia"/>
          <w:sz w:val="32"/>
          <w:szCs w:val="32"/>
        </w:rPr>
        <w:t>发布时间：2019/10/11</w:t>
      </w:r>
    </w:p>
    <w:p w:rsidR="002F4A21" w:rsidRPr="00082BEC" w:rsidRDefault="002F4A21" w:rsidP="00082BEC">
      <w:pPr>
        <w:spacing w:line="594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实施时间</w:t>
      </w:r>
      <w:r>
        <w:rPr>
          <w:rFonts w:ascii="黑体" w:eastAsia="黑体" w:hAnsi="黑体" w:hint="eastAsia"/>
          <w:sz w:val="32"/>
          <w:szCs w:val="32"/>
        </w:rPr>
        <w:t>：</w:t>
      </w:r>
      <w:r w:rsidRPr="00082BEC">
        <w:rPr>
          <w:rFonts w:ascii="黑体" w:eastAsia="黑体" w:hAnsi="黑体" w:hint="eastAsia"/>
          <w:sz w:val="32"/>
          <w:szCs w:val="32"/>
        </w:rPr>
        <w:t>2019/10/11</w:t>
      </w:r>
      <w:bookmarkStart w:id="1" w:name="_GoBack"/>
      <w:bookmarkEnd w:id="1"/>
    </w:p>
    <w:p w:rsidR="0092594D" w:rsidRPr="0062789F" w:rsidRDefault="00082BEC" w:rsidP="00082BEC">
      <w:pPr>
        <w:spacing w:line="594" w:lineRule="exact"/>
        <w:rPr>
          <w:rFonts w:ascii="黑体" w:eastAsia="黑体" w:hAnsi="黑体"/>
          <w:sz w:val="32"/>
          <w:szCs w:val="32"/>
        </w:rPr>
      </w:pPr>
      <w:r w:rsidRPr="00082BEC">
        <w:rPr>
          <w:rFonts w:ascii="黑体" w:eastAsia="黑体" w:hAnsi="黑体" w:hint="eastAsia"/>
          <w:sz w:val="32"/>
          <w:szCs w:val="32"/>
        </w:rPr>
        <w:t>发布单位：国家市场监督管理总局</w:t>
      </w:r>
    </w:p>
    <w:p w:rsidR="0092594D" w:rsidRDefault="0092594D" w:rsidP="0092594D">
      <w:pPr>
        <w:spacing w:line="594" w:lineRule="exact"/>
        <w:rPr>
          <w:rFonts w:eastAsia="仿宋_GB2312"/>
          <w:sz w:val="32"/>
          <w:szCs w:val="32"/>
        </w:rPr>
      </w:pPr>
    </w:p>
    <w:p w:rsidR="0092594D" w:rsidRDefault="0092594D" w:rsidP="0092594D">
      <w:pPr>
        <w:overflowPunct w:val="0"/>
        <w:adjustRightInd w:val="0"/>
        <w:snapToGrid w:val="0"/>
        <w:spacing w:line="594" w:lineRule="exact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ascii="方正小标宋简体" w:eastAsia="方正小标宋简体" w:hint="eastAsia"/>
          <w:sz w:val="44"/>
          <w:szCs w:val="32"/>
        </w:rPr>
        <w:t>特定</w:t>
      </w:r>
      <w:r w:rsidRPr="00BE6BD0">
        <w:rPr>
          <w:rFonts w:ascii="方正小标宋简体" w:eastAsia="方正小标宋简体" w:hint="eastAsia"/>
          <w:sz w:val="44"/>
          <w:szCs w:val="32"/>
        </w:rPr>
        <w:t>全营养配方食品临床试验</w:t>
      </w:r>
    </w:p>
    <w:p w:rsidR="0092594D" w:rsidRPr="00BE6BD0" w:rsidRDefault="0092594D" w:rsidP="0092594D">
      <w:pPr>
        <w:overflowPunct w:val="0"/>
        <w:adjustRightInd w:val="0"/>
        <w:snapToGrid w:val="0"/>
        <w:spacing w:line="594" w:lineRule="exact"/>
        <w:jc w:val="center"/>
        <w:rPr>
          <w:rFonts w:ascii="方正小标宋简体" w:eastAsia="方正小标宋简体"/>
          <w:sz w:val="44"/>
          <w:szCs w:val="32"/>
        </w:rPr>
      </w:pPr>
      <w:r w:rsidRPr="00BE6BD0">
        <w:rPr>
          <w:rFonts w:ascii="方正小标宋简体" w:eastAsia="方正小标宋简体" w:hint="eastAsia"/>
          <w:sz w:val="44"/>
          <w:szCs w:val="32"/>
        </w:rPr>
        <w:t>技术指导原则</w:t>
      </w:r>
      <w:r>
        <w:rPr>
          <w:rFonts w:ascii="方正小标宋简体" w:eastAsia="方正小标宋简体" w:hint="eastAsia"/>
          <w:sz w:val="44"/>
          <w:szCs w:val="32"/>
        </w:rPr>
        <w:t xml:space="preserve">  肾病</w:t>
      </w:r>
    </w:p>
    <w:p w:rsidR="0092594D" w:rsidRDefault="0092594D" w:rsidP="0092594D">
      <w:pPr>
        <w:overflowPunct w:val="0"/>
        <w:adjustRightInd w:val="0"/>
        <w:snapToGrid w:val="0"/>
        <w:spacing w:line="594" w:lineRule="exact"/>
        <w:jc w:val="center"/>
        <w:rPr>
          <w:rFonts w:ascii="黑体" w:eastAsia="黑体" w:hAnsi="黑体" w:cs="黑体"/>
          <w:sz w:val="32"/>
          <w:szCs w:val="32"/>
        </w:rPr>
      </w:pPr>
    </w:p>
    <w:p w:rsidR="0092594D" w:rsidRDefault="0092594D" w:rsidP="0092594D">
      <w:pPr>
        <w:pStyle w:val="2"/>
        <w:overflowPunct w:val="0"/>
        <w:adjustRightInd w:val="0"/>
        <w:snapToGrid w:val="0"/>
        <w:spacing w:line="594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使用原则</w:t>
      </w:r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本指导原则适用于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岁以上</w:t>
      </w:r>
      <w:r>
        <w:rPr>
          <w:rFonts w:eastAsia="仿宋_GB2312" w:hint="eastAsia"/>
          <w:sz w:val="32"/>
          <w:szCs w:val="32"/>
        </w:rPr>
        <w:t>特殊</w:t>
      </w:r>
      <w:r>
        <w:rPr>
          <w:rFonts w:eastAsia="仿宋_GB2312"/>
          <w:sz w:val="32"/>
          <w:szCs w:val="32"/>
        </w:rPr>
        <w:t>医学用途肾病全营养配方食品临床试验。</w:t>
      </w:r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本指导原则主要包括临床试验的试验目的、受试者选择、退出和中止标准、试验样品要求、试验方案设计、观察指标、结果判定、数据统计与管理等，为</w:t>
      </w:r>
      <w:r>
        <w:rPr>
          <w:rFonts w:eastAsia="仿宋_GB2312" w:hint="eastAsia"/>
          <w:color w:val="000000"/>
          <w:sz w:val="32"/>
          <w:szCs w:val="32"/>
        </w:rPr>
        <w:t>特殊医学用途</w:t>
      </w:r>
      <w:r>
        <w:rPr>
          <w:rFonts w:eastAsia="仿宋_GB2312"/>
          <w:sz w:val="32"/>
          <w:szCs w:val="32"/>
        </w:rPr>
        <w:t>肾病全营养配方食品的临床试验设计、实施、评价提供指导。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94" w:lineRule="exact"/>
        <w:ind w:firstLineChars="200" w:firstLine="625"/>
        <w:rPr>
          <w:rFonts w:eastAsia="仿宋_GB2312"/>
          <w:sz w:val="32"/>
          <w:szCs w:val="32"/>
        </w:rPr>
      </w:pPr>
      <w:r w:rsidRPr="00393710">
        <w:rPr>
          <w:rFonts w:eastAsia="仿宋_GB2312"/>
          <w:w w:val="98"/>
          <w:sz w:val="32"/>
          <w:szCs w:val="32"/>
        </w:rPr>
        <w:t>本指导原则是</w:t>
      </w:r>
      <w:r w:rsidRPr="00393710">
        <w:rPr>
          <w:rFonts w:eastAsia="仿宋_GB2312" w:hint="eastAsia"/>
          <w:w w:val="98"/>
          <w:sz w:val="32"/>
          <w:szCs w:val="32"/>
        </w:rPr>
        <w:t>开展</w:t>
      </w:r>
      <w:r w:rsidRPr="00393710">
        <w:rPr>
          <w:rFonts w:eastAsia="仿宋_GB2312" w:hint="eastAsia"/>
          <w:color w:val="000000"/>
          <w:w w:val="98"/>
          <w:sz w:val="32"/>
          <w:szCs w:val="32"/>
        </w:rPr>
        <w:t>特殊医学用途</w:t>
      </w:r>
      <w:r w:rsidRPr="00393710">
        <w:rPr>
          <w:rFonts w:eastAsia="仿宋_GB2312"/>
          <w:w w:val="98"/>
          <w:sz w:val="32"/>
          <w:szCs w:val="32"/>
        </w:rPr>
        <w:t>肾病全营养配方食品临床试验时需要考虑的一般性原则，供各方参考，不要求申请人强制执行。如果申请人根据所申请注册</w:t>
      </w:r>
      <w:r w:rsidRPr="00393710">
        <w:rPr>
          <w:rFonts w:eastAsia="仿宋_GB2312" w:hint="eastAsia"/>
          <w:color w:val="000000"/>
          <w:w w:val="98"/>
          <w:sz w:val="32"/>
          <w:szCs w:val="32"/>
        </w:rPr>
        <w:t>特殊医学用途</w:t>
      </w:r>
      <w:r w:rsidRPr="00393710">
        <w:rPr>
          <w:rFonts w:eastAsia="仿宋_GB2312"/>
          <w:w w:val="98"/>
          <w:sz w:val="32"/>
          <w:szCs w:val="32"/>
        </w:rPr>
        <w:t>肾病全营养配方食品的产品配方、营养特点、特殊医学临床效果和前期研究基础，提出超出本指导原则的</w:t>
      </w:r>
      <w:r w:rsidRPr="00393710">
        <w:rPr>
          <w:rFonts w:eastAsia="仿宋_GB2312" w:hint="eastAsia"/>
          <w:w w:val="98"/>
          <w:sz w:val="32"/>
          <w:szCs w:val="32"/>
        </w:rPr>
        <w:t>试验</w:t>
      </w:r>
      <w:r w:rsidRPr="00393710">
        <w:rPr>
          <w:rFonts w:eastAsia="仿宋_GB2312"/>
          <w:w w:val="98"/>
          <w:sz w:val="32"/>
          <w:szCs w:val="32"/>
        </w:rPr>
        <w:t>设计，并且能有充分的科学依据说明其科学性</w:t>
      </w:r>
      <w:r w:rsidRPr="00393710">
        <w:rPr>
          <w:rFonts w:eastAsia="仿宋_GB2312"/>
          <w:w w:val="98"/>
          <w:sz w:val="32"/>
          <w:szCs w:val="32"/>
        </w:rPr>
        <w:lastRenderedPageBreak/>
        <w:t>和合理性，同样可进行临床试验并获得认可</w:t>
      </w:r>
      <w:r>
        <w:rPr>
          <w:rFonts w:eastAsia="仿宋_GB2312"/>
          <w:sz w:val="32"/>
          <w:szCs w:val="32"/>
        </w:rPr>
        <w:t>。</w:t>
      </w:r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一、试验目的</w:t>
      </w:r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特殊医学用途</w:t>
      </w:r>
      <w:r>
        <w:rPr>
          <w:rFonts w:eastAsia="仿宋_GB2312"/>
          <w:sz w:val="32"/>
          <w:szCs w:val="32"/>
        </w:rPr>
        <w:t>肾病全营养配方食品是为满足肾病患者对营养素或膳食的特殊需要，专门加工配制而成的食品。产品配方特点是在相应年龄段全营养配方食品基础上，依据肾病病理生理特点，</w:t>
      </w:r>
      <w:r>
        <w:rPr>
          <w:rFonts w:eastAsia="仿宋_GB2312" w:hint="eastAsia"/>
          <w:sz w:val="32"/>
          <w:szCs w:val="32"/>
        </w:rPr>
        <w:t>对营养素的特殊需要适当调整，</w:t>
      </w:r>
      <w:r>
        <w:rPr>
          <w:rFonts w:eastAsia="仿宋_GB2312"/>
          <w:sz w:val="32"/>
          <w:szCs w:val="32"/>
        </w:rPr>
        <w:t>可以作为单一营养来源满足肾病患者的营养需求。试验目的主要是：</w:t>
      </w:r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（一）安全性研究</w:t>
      </w:r>
    </w:p>
    <w:p w:rsidR="0092594D" w:rsidRDefault="0092594D" w:rsidP="0092594D">
      <w:pPr>
        <w:pStyle w:val="2"/>
        <w:spacing w:line="594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eastAsia="仿宋_GB2312"/>
          <w:sz w:val="32"/>
          <w:szCs w:val="32"/>
        </w:rPr>
        <w:t>识别样品使用过程中由</w:t>
      </w:r>
      <w:r>
        <w:rPr>
          <w:rFonts w:eastAsia="仿宋_GB2312" w:hint="eastAsia"/>
          <w:sz w:val="32"/>
          <w:szCs w:val="32"/>
        </w:rPr>
        <w:t>样品</w:t>
      </w:r>
      <w:r>
        <w:rPr>
          <w:rFonts w:eastAsia="仿宋_GB2312"/>
          <w:sz w:val="32"/>
          <w:szCs w:val="32"/>
        </w:rPr>
        <w:t>本身和</w:t>
      </w:r>
      <w:r>
        <w:rPr>
          <w:rFonts w:eastAsia="仿宋_GB2312" w:hint="eastAsia"/>
          <w:sz w:val="32"/>
          <w:szCs w:val="32"/>
        </w:rPr>
        <w:t>（或）与</w:t>
      </w:r>
      <w:r>
        <w:rPr>
          <w:rFonts w:eastAsia="仿宋_GB2312"/>
          <w:sz w:val="32"/>
          <w:szCs w:val="32"/>
        </w:rPr>
        <w:t>样品</w:t>
      </w:r>
      <w:r>
        <w:rPr>
          <w:rFonts w:eastAsia="仿宋_GB2312" w:hint="eastAsia"/>
          <w:sz w:val="32"/>
          <w:szCs w:val="32"/>
        </w:rPr>
        <w:t>可能</w:t>
      </w:r>
      <w:r>
        <w:rPr>
          <w:rFonts w:eastAsia="仿宋_GB2312"/>
          <w:sz w:val="32"/>
          <w:szCs w:val="32"/>
        </w:rPr>
        <w:t>相关的</w:t>
      </w:r>
      <w:r>
        <w:rPr>
          <w:rFonts w:eastAsia="仿宋_GB2312" w:hint="eastAsia"/>
          <w:sz w:val="32"/>
          <w:szCs w:val="32"/>
        </w:rPr>
        <w:t>不良事件和（或）</w:t>
      </w:r>
      <w:r>
        <w:rPr>
          <w:rFonts w:eastAsia="仿宋_GB2312"/>
          <w:sz w:val="32"/>
          <w:szCs w:val="32"/>
        </w:rPr>
        <w:t>不良反应。</w:t>
      </w:r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（二）营养充足性研究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验证样品能</w:t>
      </w:r>
      <w:r>
        <w:rPr>
          <w:rFonts w:eastAsia="仿宋_GB2312" w:hint="eastAsia"/>
          <w:sz w:val="32"/>
          <w:szCs w:val="32"/>
        </w:rPr>
        <w:t>否</w:t>
      </w:r>
      <w:r>
        <w:rPr>
          <w:rFonts w:eastAsia="仿宋_GB2312"/>
          <w:sz w:val="32"/>
          <w:szCs w:val="32"/>
        </w:rPr>
        <w:t>为肾病患者提供合理的营养素，维持或</w:t>
      </w:r>
      <w:r>
        <w:rPr>
          <w:rFonts w:eastAsia="仿宋_GB2312" w:hint="eastAsia"/>
          <w:sz w:val="32"/>
          <w:szCs w:val="32"/>
        </w:rPr>
        <w:t>改善</w:t>
      </w:r>
      <w:r>
        <w:rPr>
          <w:rFonts w:eastAsia="仿宋_GB2312"/>
          <w:sz w:val="32"/>
          <w:szCs w:val="32"/>
        </w:rPr>
        <w:t>肾病患者的营养状况。临床研究重点观察肾病患者</w:t>
      </w:r>
      <w:r>
        <w:rPr>
          <w:rFonts w:eastAsia="仿宋_GB2312" w:hint="eastAsia"/>
          <w:sz w:val="32"/>
          <w:szCs w:val="32"/>
        </w:rPr>
        <w:t>与</w:t>
      </w:r>
      <w:r>
        <w:rPr>
          <w:rFonts w:eastAsia="仿宋_GB2312"/>
          <w:sz w:val="32"/>
          <w:szCs w:val="32"/>
        </w:rPr>
        <w:t>营养</w:t>
      </w:r>
      <w:r>
        <w:rPr>
          <w:rFonts w:eastAsia="仿宋_GB2312" w:hint="eastAsia"/>
          <w:sz w:val="32"/>
          <w:szCs w:val="32"/>
        </w:rPr>
        <w:t>有关的</w:t>
      </w:r>
      <w:r>
        <w:rPr>
          <w:rFonts w:eastAsia="仿宋_GB2312"/>
          <w:sz w:val="32"/>
          <w:szCs w:val="32"/>
        </w:rPr>
        <w:t>血液学指标和（或）体成分等国</w:t>
      </w:r>
      <w:r>
        <w:rPr>
          <w:rFonts w:eastAsia="仿宋_GB2312" w:hint="eastAsia"/>
          <w:sz w:val="32"/>
          <w:szCs w:val="32"/>
        </w:rPr>
        <w:t>内外公认</w:t>
      </w:r>
      <w:r>
        <w:rPr>
          <w:rFonts w:eastAsia="仿宋_GB2312"/>
          <w:sz w:val="32"/>
          <w:szCs w:val="32"/>
        </w:rPr>
        <w:t>的营养学评价指标。</w:t>
      </w:r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（三）特殊医学用途临床效果研究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验证</w:t>
      </w:r>
      <w:r>
        <w:rPr>
          <w:rFonts w:eastAsia="仿宋_GB2312"/>
          <w:sz w:val="32"/>
          <w:szCs w:val="32"/>
        </w:rPr>
        <w:t>样品有利于维持肾病患者</w:t>
      </w:r>
      <w:r>
        <w:rPr>
          <w:rFonts w:eastAsia="仿宋_GB2312" w:hint="eastAsia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肾功能</w:t>
      </w:r>
      <w:r>
        <w:rPr>
          <w:rFonts w:eastAsia="仿宋_GB2312"/>
          <w:color w:val="000000"/>
          <w:sz w:val="32"/>
          <w:szCs w:val="32"/>
        </w:rPr>
        <w:t>或</w:t>
      </w:r>
      <w:r>
        <w:rPr>
          <w:rFonts w:eastAsia="仿宋_GB2312"/>
          <w:sz w:val="32"/>
          <w:szCs w:val="32"/>
        </w:rPr>
        <w:t>（和）减少疾病相关的并发症。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94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二、受试者选择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94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（一）纳入标准</w:t>
      </w:r>
    </w:p>
    <w:p w:rsidR="0092594D" w:rsidRPr="00806952" w:rsidRDefault="0092594D" w:rsidP="0092594D">
      <w:pPr>
        <w:pStyle w:val="2"/>
        <w:spacing w:line="594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不同类型或同一类型的不同阶段、不同代谢状况的肾病患者对营养素和能量的需求不同，应根据产品配方特点和临床研究目的合理选择受试人群。为更好明确试验用样品的营养作用和特殊医学用途临床效果，在同一临床研究中应尽可能纳入相同类型的</w:t>
      </w:r>
      <w:r>
        <w:rPr>
          <w:rFonts w:eastAsia="仿宋_GB2312"/>
          <w:sz w:val="32"/>
          <w:szCs w:val="32"/>
        </w:rPr>
        <w:lastRenderedPageBreak/>
        <w:t>患者。</w:t>
      </w:r>
      <w:r w:rsidRPr="003B09A8">
        <w:rPr>
          <w:rFonts w:eastAsia="仿宋_GB2312" w:hint="eastAsia"/>
          <w:color w:val="000000"/>
          <w:sz w:val="32"/>
          <w:szCs w:val="32"/>
        </w:rPr>
        <w:t>建议受试者的入选标准包括：</w:t>
      </w:r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年龄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岁以上，</w:t>
      </w:r>
      <w:r>
        <w:rPr>
          <w:rFonts w:eastAsia="仿宋_GB2312" w:hint="eastAsia"/>
          <w:sz w:val="32"/>
          <w:szCs w:val="32"/>
        </w:rPr>
        <w:t>性别不限</w:t>
      </w:r>
      <w:r>
        <w:rPr>
          <w:rFonts w:eastAsia="仿宋_GB2312"/>
          <w:sz w:val="32"/>
          <w:szCs w:val="32"/>
        </w:rPr>
        <w:t>；</w:t>
      </w:r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经临床或（和）病理诊断确诊为肾病</w:t>
      </w:r>
      <w:r>
        <w:rPr>
          <w:rFonts w:eastAsia="仿宋_GB2312" w:hint="eastAsia"/>
          <w:sz w:val="32"/>
          <w:szCs w:val="32"/>
        </w:rPr>
        <w:t>且具有营养需求</w:t>
      </w:r>
      <w:r>
        <w:rPr>
          <w:rFonts w:eastAsia="仿宋_GB2312"/>
          <w:sz w:val="32"/>
          <w:szCs w:val="32"/>
        </w:rPr>
        <w:t>的患者，且与试验用样品设定适用人群相同；</w:t>
      </w:r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可耐受肠内营养者；</w:t>
      </w:r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自愿同意并签署知情同意书者。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94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（二）排除标准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符合下列任何情形之一者，均排除进入试验</w:t>
      </w:r>
      <w:r>
        <w:rPr>
          <w:rFonts w:eastAsia="仿宋_GB2312" w:hint="eastAsia"/>
          <w:sz w:val="32"/>
          <w:szCs w:val="32"/>
        </w:rPr>
        <w:t>：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有严重影响试验用样品消化吸收的疾病；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正在使用其他可能影响试验效果的营养制剂；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对产品成分过敏；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 w:hint="eastAsia"/>
          <w:sz w:val="32"/>
          <w:szCs w:val="32"/>
        </w:rPr>
        <w:t>研究者认为其他不适于参加本研究；</w:t>
      </w:r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5.</w:t>
      </w:r>
      <w:r>
        <w:rPr>
          <w:rFonts w:eastAsia="仿宋_GB2312" w:hint="eastAsia"/>
          <w:sz w:val="32"/>
          <w:szCs w:val="32"/>
        </w:rPr>
        <w:t>筛选前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周内参与其他干预性临床试验（含药品、营养制剂、医疗器械等）。</w:t>
      </w:r>
      <w:r>
        <w:rPr>
          <w:rFonts w:eastAsia="仿宋_GB2312" w:hint="eastAsia"/>
          <w:sz w:val="32"/>
          <w:szCs w:val="32"/>
        </w:rPr>
        <w:t xml:space="preserve">                      </w:t>
      </w:r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>三、退出和中止标准</w:t>
      </w:r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（一）退出标准</w:t>
      </w:r>
    </w:p>
    <w:p w:rsidR="0092594D" w:rsidRDefault="0092594D" w:rsidP="0092594D">
      <w:pPr>
        <w:pStyle w:val="2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严重违背研究方案的患者；</w:t>
      </w:r>
    </w:p>
    <w:p w:rsidR="0092594D" w:rsidRDefault="0092594D" w:rsidP="0092594D">
      <w:pPr>
        <w:pStyle w:val="2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proofErr w:type="gramStart"/>
      <w:r>
        <w:rPr>
          <w:rFonts w:eastAsia="仿宋_GB2312"/>
          <w:sz w:val="32"/>
          <w:szCs w:val="32"/>
        </w:rPr>
        <w:t>失访的</w:t>
      </w:r>
      <w:proofErr w:type="gramEnd"/>
      <w:r>
        <w:rPr>
          <w:rFonts w:eastAsia="仿宋_GB2312"/>
          <w:sz w:val="32"/>
          <w:szCs w:val="32"/>
        </w:rPr>
        <w:t>患者</w:t>
      </w:r>
      <w:r>
        <w:rPr>
          <w:rFonts w:eastAsia="仿宋_GB2312" w:hint="eastAsia"/>
          <w:sz w:val="32"/>
          <w:szCs w:val="32"/>
        </w:rPr>
        <w:t>；</w:t>
      </w:r>
    </w:p>
    <w:p w:rsidR="0092594D" w:rsidRDefault="0092594D" w:rsidP="0092594D">
      <w:pPr>
        <w:pStyle w:val="2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受试者要求退出；</w:t>
      </w:r>
    </w:p>
    <w:p w:rsidR="0092594D" w:rsidRDefault="0092594D" w:rsidP="0092594D">
      <w:pPr>
        <w:pStyle w:val="2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研究者认为受试者继续参加研究将面临不可接受的风险</w:t>
      </w:r>
      <w:r>
        <w:rPr>
          <w:rFonts w:eastAsia="仿宋_GB2312" w:hint="eastAsia"/>
          <w:sz w:val="32"/>
          <w:szCs w:val="32"/>
        </w:rPr>
        <w:t>；</w:t>
      </w:r>
    </w:p>
    <w:p w:rsidR="0092594D" w:rsidRDefault="0092594D" w:rsidP="0092594D">
      <w:pPr>
        <w:pStyle w:val="2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其他</w:t>
      </w:r>
      <w:r>
        <w:rPr>
          <w:rFonts w:eastAsia="仿宋_GB2312" w:hint="eastAsia"/>
          <w:sz w:val="32"/>
          <w:szCs w:val="32"/>
        </w:rPr>
        <w:t>需要退出的情形</w:t>
      </w:r>
      <w:r>
        <w:rPr>
          <w:rFonts w:eastAsia="仿宋_GB2312"/>
          <w:sz w:val="32"/>
          <w:szCs w:val="32"/>
        </w:rPr>
        <w:t>。</w:t>
      </w:r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（二）中止标准</w:t>
      </w:r>
    </w:p>
    <w:p w:rsidR="0092594D" w:rsidRDefault="0092594D" w:rsidP="0092594D">
      <w:pPr>
        <w:pStyle w:val="2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 w:rsidRPr="00393710">
        <w:rPr>
          <w:rFonts w:eastAsia="仿宋_GB2312"/>
          <w:w w:val="90"/>
          <w:sz w:val="32"/>
          <w:szCs w:val="32"/>
        </w:rPr>
        <w:t>试验过程中出现严重不良事件</w:t>
      </w:r>
      <w:r w:rsidRPr="00393710">
        <w:rPr>
          <w:rFonts w:eastAsia="仿宋_GB2312" w:hint="eastAsia"/>
          <w:w w:val="90"/>
          <w:sz w:val="32"/>
          <w:szCs w:val="32"/>
        </w:rPr>
        <w:t>，经伦理委员会认定需要中止；</w:t>
      </w:r>
    </w:p>
    <w:p w:rsidR="0092594D" w:rsidRDefault="0092594D" w:rsidP="0092594D">
      <w:pPr>
        <w:pStyle w:val="2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2.</w:t>
      </w:r>
      <w:r>
        <w:rPr>
          <w:rFonts w:eastAsia="仿宋_GB2312"/>
          <w:sz w:val="32"/>
          <w:szCs w:val="32"/>
        </w:rPr>
        <w:t>试验中发现试验方案有重大</w:t>
      </w:r>
      <w:r>
        <w:rPr>
          <w:rFonts w:eastAsia="仿宋_GB2312" w:hint="eastAsia"/>
          <w:sz w:val="32"/>
          <w:szCs w:val="32"/>
        </w:rPr>
        <w:t>缺陷</w:t>
      </w:r>
      <w:r>
        <w:rPr>
          <w:rFonts w:eastAsia="仿宋_GB2312"/>
          <w:sz w:val="32"/>
          <w:szCs w:val="32"/>
        </w:rPr>
        <w:t>，难以评价</w:t>
      </w:r>
      <w:r>
        <w:rPr>
          <w:rFonts w:eastAsia="仿宋_GB2312" w:hint="eastAsia"/>
          <w:sz w:val="32"/>
          <w:szCs w:val="32"/>
        </w:rPr>
        <w:t>研究</w:t>
      </w:r>
      <w:r>
        <w:rPr>
          <w:rFonts w:eastAsia="仿宋_GB2312"/>
          <w:sz w:val="32"/>
          <w:szCs w:val="32"/>
        </w:rPr>
        <w:t>效</w:t>
      </w:r>
      <w:r>
        <w:rPr>
          <w:rFonts w:eastAsia="仿宋_GB2312" w:hint="eastAsia"/>
          <w:sz w:val="32"/>
          <w:szCs w:val="32"/>
        </w:rPr>
        <w:t>果；</w:t>
      </w:r>
    </w:p>
    <w:p w:rsidR="0092594D" w:rsidRDefault="0092594D" w:rsidP="0092594D">
      <w:pPr>
        <w:pStyle w:val="2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试验中</w:t>
      </w:r>
      <w:r>
        <w:rPr>
          <w:rFonts w:eastAsia="仿宋_GB2312" w:hint="eastAsia"/>
          <w:sz w:val="32"/>
          <w:szCs w:val="32"/>
        </w:rPr>
        <w:t>研究者</w:t>
      </w:r>
      <w:r>
        <w:rPr>
          <w:rFonts w:eastAsia="仿宋_GB2312"/>
          <w:sz w:val="32"/>
          <w:szCs w:val="32"/>
        </w:rPr>
        <w:t>发现</w:t>
      </w:r>
      <w:r>
        <w:rPr>
          <w:rFonts w:eastAsia="仿宋_GB2312" w:hint="eastAsia"/>
          <w:sz w:val="32"/>
          <w:szCs w:val="32"/>
        </w:rPr>
        <w:t>其效果</w:t>
      </w:r>
      <w:r>
        <w:rPr>
          <w:rFonts w:eastAsia="仿宋_GB2312"/>
          <w:sz w:val="32"/>
          <w:szCs w:val="32"/>
        </w:rPr>
        <w:t>不具有临床价值</w:t>
      </w:r>
      <w:r>
        <w:rPr>
          <w:rFonts w:eastAsia="仿宋_GB2312" w:hint="eastAsia"/>
          <w:sz w:val="32"/>
          <w:szCs w:val="32"/>
        </w:rPr>
        <w:t>；</w:t>
      </w:r>
    </w:p>
    <w:p w:rsidR="0092594D" w:rsidRDefault="0092594D" w:rsidP="0092594D">
      <w:pPr>
        <w:pStyle w:val="2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申办者要求中止</w:t>
      </w:r>
      <w:r>
        <w:rPr>
          <w:rFonts w:eastAsia="仿宋_GB2312" w:hint="eastAsia"/>
          <w:sz w:val="32"/>
          <w:szCs w:val="32"/>
        </w:rPr>
        <w:t>；</w:t>
      </w:r>
    </w:p>
    <w:p w:rsidR="0092594D" w:rsidRDefault="0092594D" w:rsidP="0092594D">
      <w:pPr>
        <w:pStyle w:val="2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5.</w:t>
      </w:r>
      <w:r>
        <w:rPr>
          <w:rFonts w:eastAsia="仿宋_GB2312" w:hint="eastAsia"/>
          <w:sz w:val="32"/>
          <w:szCs w:val="32"/>
        </w:rPr>
        <w:t>其他需要中止的情形。</w:t>
      </w:r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四、试验样品要求</w:t>
      </w:r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（一）试验用样品：</w:t>
      </w:r>
      <w:r>
        <w:rPr>
          <w:rFonts w:eastAsia="仿宋_GB2312"/>
          <w:sz w:val="32"/>
          <w:szCs w:val="32"/>
        </w:rPr>
        <w:t>拟申请注册的</w:t>
      </w:r>
      <w:r>
        <w:rPr>
          <w:rFonts w:eastAsia="仿宋_GB2312" w:hint="eastAsia"/>
          <w:color w:val="000000"/>
          <w:sz w:val="32"/>
          <w:szCs w:val="32"/>
        </w:rPr>
        <w:t>特殊医学用途</w:t>
      </w:r>
      <w:r>
        <w:rPr>
          <w:rFonts w:eastAsia="仿宋_GB2312"/>
          <w:sz w:val="32"/>
          <w:szCs w:val="32"/>
        </w:rPr>
        <w:t>肾病全营养配方食品。</w:t>
      </w:r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（二）对照样品：</w:t>
      </w:r>
      <w:r>
        <w:rPr>
          <w:rFonts w:eastAsia="仿宋_GB2312"/>
          <w:sz w:val="32"/>
          <w:szCs w:val="32"/>
        </w:rPr>
        <w:t>已获批准注册的</w:t>
      </w:r>
      <w:r>
        <w:rPr>
          <w:rFonts w:eastAsia="仿宋_GB2312" w:hint="eastAsia"/>
          <w:color w:val="000000"/>
          <w:sz w:val="32"/>
          <w:szCs w:val="32"/>
        </w:rPr>
        <w:t>特殊医学用途</w:t>
      </w:r>
      <w:r>
        <w:rPr>
          <w:rFonts w:eastAsia="仿宋_GB2312"/>
          <w:sz w:val="32"/>
          <w:szCs w:val="32"/>
        </w:rPr>
        <w:t>肾病全营养配方食品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相应类别肠内营养制剂或全营养配方食品。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94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五、试验方案设计</w:t>
      </w:r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（一）试验方法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应当采用随机对照试验，</w:t>
      </w:r>
      <w:r>
        <w:rPr>
          <w:rFonts w:eastAsia="仿宋_GB2312" w:hint="eastAsia"/>
          <w:sz w:val="32"/>
          <w:szCs w:val="32"/>
        </w:rPr>
        <w:t>可</w:t>
      </w:r>
      <w:proofErr w:type="gramStart"/>
      <w:r>
        <w:rPr>
          <w:rFonts w:eastAsia="仿宋_GB2312"/>
          <w:sz w:val="32"/>
          <w:szCs w:val="32"/>
        </w:rPr>
        <w:t>采用盲法进行</w:t>
      </w:r>
      <w:proofErr w:type="gramEnd"/>
      <w:r>
        <w:rPr>
          <w:rFonts w:eastAsia="仿宋_GB2312"/>
          <w:sz w:val="32"/>
          <w:szCs w:val="32"/>
        </w:rPr>
        <w:t>试验。如采用其他试验设计，需提供无法实施随机对照试验的原因、试验的科学程度和研究控制条件等依据。依据对照样品的选择，采用</w:t>
      </w:r>
      <w:proofErr w:type="gramStart"/>
      <w:r>
        <w:rPr>
          <w:rFonts w:eastAsia="仿宋_GB2312"/>
          <w:sz w:val="32"/>
          <w:szCs w:val="32"/>
        </w:rPr>
        <w:t>优效或非</w:t>
      </w:r>
      <w:r>
        <w:rPr>
          <w:rFonts w:eastAsia="仿宋_GB2312"/>
          <w:color w:val="000000"/>
          <w:sz w:val="32"/>
          <w:szCs w:val="32"/>
        </w:rPr>
        <w:t>劣</w:t>
      </w:r>
      <w:r>
        <w:rPr>
          <w:rFonts w:eastAsia="仿宋_GB2312"/>
          <w:sz w:val="32"/>
          <w:szCs w:val="32"/>
        </w:rPr>
        <w:t>效</w:t>
      </w:r>
      <w:proofErr w:type="gramEnd"/>
      <w:r>
        <w:rPr>
          <w:rFonts w:eastAsia="仿宋_GB2312"/>
          <w:sz w:val="32"/>
          <w:szCs w:val="32"/>
        </w:rPr>
        <w:t>性检验。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94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（二）试验分组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color w:val="FF0000"/>
          <w:sz w:val="32"/>
          <w:szCs w:val="32"/>
        </w:rPr>
      </w:pPr>
      <w:r>
        <w:rPr>
          <w:rFonts w:eastAsia="仿宋_GB2312"/>
          <w:sz w:val="32"/>
          <w:szCs w:val="32"/>
        </w:rPr>
        <w:t>按照随机分组原则分配入试验组与对照组。试验组</w:t>
      </w:r>
      <w:proofErr w:type="gramStart"/>
      <w:r>
        <w:rPr>
          <w:rFonts w:eastAsia="仿宋_GB2312"/>
          <w:sz w:val="32"/>
          <w:szCs w:val="32"/>
        </w:rPr>
        <w:t>有效例</w:t>
      </w:r>
      <w:proofErr w:type="gramEnd"/>
      <w:r>
        <w:rPr>
          <w:rFonts w:eastAsia="仿宋_GB2312"/>
          <w:sz w:val="32"/>
          <w:szCs w:val="32"/>
        </w:rPr>
        <w:t>数原则上不少于</w:t>
      </w:r>
      <w:r>
        <w:rPr>
          <w:rFonts w:eastAsia="仿宋_GB2312"/>
          <w:sz w:val="32"/>
          <w:szCs w:val="32"/>
        </w:rPr>
        <w:t>100</w:t>
      </w:r>
      <w:r>
        <w:rPr>
          <w:rFonts w:eastAsia="仿宋_GB2312"/>
          <w:sz w:val="32"/>
          <w:szCs w:val="32"/>
        </w:rPr>
        <w:t>例，且脱失率不高于</w:t>
      </w:r>
      <w:r>
        <w:rPr>
          <w:rFonts w:eastAsia="仿宋_GB2312"/>
          <w:sz w:val="32"/>
          <w:szCs w:val="32"/>
        </w:rPr>
        <w:t>20%</w:t>
      </w:r>
      <w:r>
        <w:rPr>
          <w:rFonts w:eastAsia="仿宋_GB2312"/>
          <w:sz w:val="32"/>
          <w:szCs w:val="32"/>
        </w:rPr>
        <w:t>。</w:t>
      </w:r>
      <w:r w:rsidRPr="00BE6BD0">
        <w:rPr>
          <w:rFonts w:eastAsia="仿宋_GB2312" w:hint="eastAsia"/>
          <w:sz w:val="32"/>
          <w:szCs w:val="32"/>
        </w:rPr>
        <w:t>样本量</w:t>
      </w:r>
      <w:r>
        <w:rPr>
          <w:rFonts w:eastAsia="仿宋_GB2312"/>
          <w:sz w:val="32"/>
          <w:szCs w:val="32"/>
        </w:rPr>
        <w:t>应根据临床研究的主要研究终点选择合适的统计学方法进行估算。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94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（三）试验周期</w:t>
      </w:r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试验周期原则上不少于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周。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94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（四）摄入量和摄入途径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成人患者总能量</w:t>
      </w:r>
      <w:r>
        <w:rPr>
          <w:rFonts w:eastAsia="仿宋_GB2312" w:hint="eastAsia"/>
          <w:sz w:val="32"/>
          <w:szCs w:val="32"/>
        </w:rPr>
        <w:t>25~35kcal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104.6~125.6kJ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/</w:t>
      </w:r>
      <w:proofErr w:type="spellStart"/>
      <w:r>
        <w:rPr>
          <w:rFonts w:eastAsia="仿宋_GB2312" w:hint="eastAsia"/>
          <w:sz w:val="32"/>
          <w:szCs w:val="32"/>
        </w:rPr>
        <w:t>kg.d</w:t>
      </w:r>
      <w:proofErr w:type="spellEnd"/>
      <w:r>
        <w:rPr>
          <w:rFonts w:eastAsia="仿宋_GB2312" w:hint="eastAsia"/>
          <w:sz w:val="32"/>
          <w:szCs w:val="32"/>
        </w:rPr>
        <w:t>，可根据年</w:t>
      </w:r>
      <w:r>
        <w:rPr>
          <w:rFonts w:eastAsia="仿宋_GB2312" w:hint="eastAsia"/>
          <w:sz w:val="32"/>
          <w:szCs w:val="32"/>
        </w:rPr>
        <w:lastRenderedPageBreak/>
        <w:t>龄、体质指数等适当调整；儿童和青少年应在医生或临床营养（</w:t>
      </w:r>
      <w:proofErr w:type="gramStart"/>
      <w:r>
        <w:rPr>
          <w:rFonts w:eastAsia="仿宋_GB2312" w:hint="eastAsia"/>
          <w:sz w:val="32"/>
          <w:szCs w:val="32"/>
        </w:rPr>
        <w:t>医</w:t>
      </w:r>
      <w:proofErr w:type="gramEnd"/>
      <w:r>
        <w:rPr>
          <w:rFonts w:eastAsia="仿宋_GB2312" w:hint="eastAsia"/>
          <w:sz w:val="32"/>
          <w:szCs w:val="32"/>
        </w:rPr>
        <w:t>）师指导下确定推荐摄入量；采用口服或管饲，试验用样品每日摄入量不低于总能量的</w:t>
      </w:r>
      <w:r>
        <w:rPr>
          <w:rFonts w:eastAsia="仿宋_GB2312" w:hint="eastAsia"/>
          <w:sz w:val="32"/>
          <w:szCs w:val="32"/>
        </w:rPr>
        <w:t>40%</w:t>
      </w:r>
      <w:r>
        <w:rPr>
          <w:rFonts w:eastAsia="仿宋_GB2312" w:hint="eastAsia"/>
          <w:sz w:val="32"/>
          <w:szCs w:val="32"/>
        </w:rPr>
        <w:t>，剩余能量应在医生或临床营养（</w:t>
      </w:r>
      <w:proofErr w:type="gramStart"/>
      <w:r>
        <w:rPr>
          <w:rFonts w:eastAsia="仿宋_GB2312" w:hint="eastAsia"/>
          <w:sz w:val="32"/>
          <w:szCs w:val="32"/>
        </w:rPr>
        <w:t>医</w:t>
      </w:r>
      <w:proofErr w:type="gramEnd"/>
      <w:r>
        <w:rPr>
          <w:rFonts w:eastAsia="仿宋_GB2312" w:hint="eastAsia"/>
          <w:sz w:val="32"/>
          <w:szCs w:val="32"/>
        </w:rPr>
        <w:t>）师指导下摄入，在试验过程中要求记录膳食摄入量，宏量营养素应具有可比性。</w:t>
      </w:r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计算上述</w:t>
      </w:r>
      <w:r>
        <w:rPr>
          <w:rFonts w:eastAsia="仿宋_GB2312" w:hint="eastAsia"/>
          <w:sz w:val="32"/>
          <w:szCs w:val="32"/>
        </w:rPr>
        <w:t>能量</w:t>
      </w:r>
      <w:r>
        <w:rPr>
          <w:rFonts w:eastAsia="仿宋_GB2312"/>
          <w:sz w:val="32"/>
          <w:szCs w:val="32"/>
        </w:rPr>
        <w:t>摄入量时，如患者</w:t>
      </w:r>
      <w:r>
        <w:rPr>
          <w:rFonts w:eastAsia="仿宋_GB2312"/>
          <w:sz w:val="32"/>
          <w:szCs w:val="32"/>
        </w:rPr>
        <w:t>BMI</w:t>
      </w:r>
      <w:r>
        <w:rPr>
          <w:rFonts w:eastAsia="仿宋_GB2312"/>
          <w:sz w:val="32"/>
          <w:szCs w:val="32"/>
        </w:rPr>
        <w:t>＜</w:t>
      </w:r>
      <w:r>
        <w:rPr>
          <w:rFonts w:eastAsia="仿宋_GB2312"/>
          <w:sz w:val="32"/>
          <w:szCs w:val="32"/>
        </w:rPr>
        <w:t>24kg/m</w:t>
      </w:r>
      <w:r>
        <w:rPr>
          <w:rFonts w:eastAsia="仿宋_GB2312"/>
          <w:sz w:val="32"/>
          <w:szCs w:val="32"/>
          <w:vertAlign w:val="superscript"/>
        </w:rPr>
        <w:t>2</w:t>
      </w:r>
      <w:r>
        <w:rPr>
          <w:rFonts w:eastAsia="仿宋_GB2312"/>
          <w:sz w:val="32"/>
          <w:szCs w:val="32"/>
        </w:rPr>
        <w:t>，使用实际体重；如患者</w:t>
      </w:r>
      <w:r>
        <w:rPr>
          <w:rFonts w:eastAsia="仿宋_GB2312"/>
          <w:sz w:val="32"/>
          <w:szCs w:val="32"/>
        </w:rPr>
        <w:t>BMI≥24kg/m</w:t>
      </w:r>
      <w:r>
        <w:rPr>
          <w:rFonts w:eastAsia="仿宋_GB2312"/>
          <w:sz w:val="32"/>
          <w:szCs w:val="32"/>
          <w:vertAlign w:val="superscript"/>
        </w:rPr>
        <w:t>2</w:t>
      </w:r>
      <w:r>
        <w:rPr>
          <w:rFonts w:eastAsia="仿宋_GB2312"/>
          <w:sz w:val="32"/>
          <w:szCs w:val="32"/>
        </w:rPr>
        <w:t>，使用标准体重。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试验组和对照组</w:t>
      </w:r>
      <w:r>
        <w:rPr>
          <w:rFonts w:eastAsia="仿宋_GB2312" w:hint="eastAsia"/>
          <w:sz w:val="32"/>
          <w:szCs w:val="32"/>
        </w:rPr>
        <w:t>基线资料以及研究期间的相关</w:t>
      </w:r>
      <w:r>
        <w:rPr>
          <w:rFonts w:eastAsia="仿宋_GB2312"/>
          <w:sz w:val="32"/>
          <w:szCs w:val="32"/>
        </w:rPr>
        <w:t>用药应具有可比性。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94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六、观察指标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94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（一）安全性指标</w:t>
      </w:r>
    </w:p>
    <w:p w:rsidR="0092594D" w:rsidRPr="00571844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 w:rsidRPr="002F715B">
        <w:rPr>
          <w:rFonts w:eastAsia="仿宋_GB2312"/>
          <w:sz w:val="32"/>
          <w:szCs w:val="32"/>
        </w:rPr>
        <w:t>1.</w:t>
      </w:r>
      <w:r w:rsidRPr="001625ED">
        <w:rPr>
          <w:rFonts w:eastAsia="仿宋_GB2312" w:hint="eastAsia"/>
          <w:sz w:val="32"/>
          <w:szCs w:val="32"/>
        </w:rPr>
        <w:t xml:space="preserve"> </w:t>
      </w:r>
      <w:r w:rsidRPr="00DA41F4">
        <w:rPr>
          <w:rFonts w:eastAsia="仿宋_GB2312" w:hint="eastAsia"/>
          <w:sz w:val="32"/>
          <w:szCs w:val="32"/>
        </w:rPr>
        <w:t>发生</w:t>
      </w:r>
      <w:r w:rsidRPr="00DA41F4">
        <w:rPr>
          <w:rFonts w:eastAsia="仿宋_GB2312"/>
          <w:sz w:val="32"/>
          <w:szCs w:val="32"/>
        </w:rPr>
        <w:t>恶心</w:t>
      </w:r>
      <w:r w:rsidRPr="00CA1D37">
        <w:rPr>
          <w:rFonts w:eastAsia="仿宋_GB2312" w:hint="eastAsia"/>
          <w:sz w:val="32"/>
          <w:szCs w:val="32"/>
        </w:rPr>
        <w:t>、</w:t>
      </w:r>
      <w:r w:rsidRPr="004B39A9">
        <w:rPr>
          <w:rFonts w:eastAsia="仿宋_GB2312"/>
          <w:sz w:val="32"/>
          <w:szCs w:val="32"/>
        </w:rPr>
        <w:t>呕吐</w:t>
      </w:r>
      <w:r w:rsidRPr="00D4072A">
        <w:rPr>
          <w:rFonts w:eastAsia="仿宋_GB2312" w:hint="eastAsia"/>
          <w:sz w:val="32"/>
          <w:szCs w:val="32"/>
        </w:rPr>
        <w:t>、</w:t>
      </w:r>
      <w:r w:rsidRPr="00D4072A">
        <w:rPr>
          <w:rFonts w:eastAsia="仿宋_GB2312"/>
          <w:sz w:val="32"/>
          <w:szCs w:val="32"/>
        </w:rPr>
        <w:t>腹胀、腹痛</w:t>
      </w:r>
      <w:r w:rsidRPr="00DA1CE0"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腹泻、</w:t>
      </w:r>
      <w:r>
        <w:rPr>
          <w:rFonts w:eastAsia="仿宋_GB2312" w:hint="eastAsia"/>
          <w:sz w:val="32"/>
          <w:szCs w:val="32"/>
        </w:rPr>
        <w:t>便秘</w:t>
      </w:r>
      <w:r>
        <w:rPr>
          <w:rFonts w:eastAsia="仿宋_GB2312"/>
          <w:sz w:val="32"/>
          <w:szCs w:val="32"/>
        </w:rPr>
        <w:t>等胃肠道</w:t>
      </w:r>
      <w:r>
        <w:rPr>
          <w:rFonts w:eastAsia="仿宋_GB2312" w:hint="eastAsia"/>
          <w:sz w:val="32"/>
          <w:szCs w:val="32"/>
        </w:rPr>
        <w:t>症状的例次；</w:t>
      </w:r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采用管饲摄入途径时，发生导管相关并发症（鼻咽部黏膜损伤、喂养管堵塞、营养管造口放置相关感染等）的例次</w:t>
      </w:r>
      <w:r w:rsidRPr="00DA1CE0">
        <w:rPr>
          <w:rFonts w:eastAsia="仿宋_GB2312"/>
          <w:sz w:val="32"/>
          <w:szCs w:val="32"/>
        </w:rPr>
        <w:t>；</w:t>
      </w:r>
    </w:p>
    <w:p w:rsidR="0092594D" w:rsidRPr="00571844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生命体征、血常规、尿常规、肝肾功能等生化指标；</w:t>
      </w:r>
    </w:p>
    <w:p w:rsidR="0092594D" w:rsidRPr="00DA1CE0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 w:rsidRPr="00744995">
        <w:rPr>
          <w:rFonts w:eastAsia="仿宋_GB2312" w:hint="eastAsia"/>
          <w:color w:val="000000"/>
          <w:sz w:val="32"/>
          <w:szCs w:val="32"/>
        </w:rPr>
        <w:t>发生其他</w:t>
      </w:r>
      <w:r w:rsidRPr="00744995">
        <w:rPr>
          <w:rFonts w:eastAsia="仿宋_GB2312"/>
          <w:color w:val="000000"/>
          <w:sz w:val="32"/>
          <w:szCs w:val="32"/>
        </w:rPr>
        <w:t>与</w:t>
      </w:r>
      <w:r>
        <w:rPr>
          <w:rFonts w:eastAsia="仿宋_GB2312" w:hint="eastAsia"/>
          <w:sz w:val="32"/>
          <w:szCs w:val="32"/>
        </w:rPr>
        <w:t>试验样品</w:t>
      </w:r>
      <w:r w:rsidRPr="00744995">
        <w:rPr>
          <w:rFonts w:eastAsia="仿宋_GB2312" w:hint="eastAsia"/>
          <w:color w:val="000000"/>
          <w:sz w:val="32"/>
          <w:szCs w:val="32"/>
        </w:rPr>
        <w:t>和（或）</w:t>
      </w:r>
      <w:r w:rsidRPr="00744995">
        <w:rPr>
          <w:rFonts w:eastAsia="仿宋_GB2312"/>
          <w:color w:val="000000"/>
          <w:sz w:val="32"/>
          <w:szCs w:val="32"/>
        </w:rPr>
        <w:t>可能相关的不良事件和</w:t>
      </w:r>
      <w:r w:rsidRPr="00744995">
        <w:rPr>
          <w:rFonts w:eastAsia="仿宋_GB2312" w:hint="eastAsia"/>
          <w:color w:val="000000"/>
          <w:sz w:val="32"/>
          <w:szCs w:val="32"/>
        </w:rPr>
        <w:t>（或）不良反应的例次</w:t>
      </w:r>
      <w:r w:rsidRPr="00D4072A">
        <w:rPr>
          <w:rFonts w:eastAsia="仿宋_GB2312" w:hint="eastAsia"/>
          <w:sz w:val="32"/>
          <w:szCs w:val="32"/>
        </w:rPr>
        <w:t>。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94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（二）营养充足性指标</w:t>
      </w:r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体重、体质指数、体成分、</w:t>
      </w:r>
      <w:r>
        <w:rPr>
          <w:rFonts w:eastAsia="仿宋_GB2312"/>
          <w:color w:val="000000"/>
          <w:sz w:val="32"/>
          <w:szCs w:val="32"/>
        </w:rPr>
        <w:t>血清白蛋白</w:t>
      </w:r>
      <w:r>
        <w:rPr>
          <w:rFonts w:eastAsia="仿宋_GB2312"/>
          <w:sz w:val="32"/>
          <w:szCs w:val="32"/>
        </w:rPr>
        <w:t>、总蛋白、血红蛋白等指标，以及其他</w:t>
      </w:r>
      <w:r>
        <w:rPr>
          <w:rFonts w:eastAsia="仿宋_GB2312" w:hint="eastAsia"/>
          <w:sz w:val="32"/>
          <w:szCs w:val="32"/>
        </w:rPr>
        <w:t>国内外</w:t>
      </w:r>
      <w:r>
        <w:rPr>
          <w:rFonts w:eastAsia="仿宋_GB2312"/>
          <w:sz w:val="32"/>
          <w:szCs w:val="32"/>
        </w:rPr>
        <w:t>公认的营养学评价指标。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94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（三）特殊医学用途临床效果指标</w:t>
      </w:r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肾功能相关指标：包括但不限于以下任何一项，（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）血尿素</w:t>
      </w:r>
      <w:r>
        <w:rPr>
          <w:rFonts w:eastAsia="仿宋_GB2312"/>
          <w:sz w:val="32"/>
          <w:szCs w:val="32"/>
        </w:rPr>
        <w:lastRenderedPageBreak/>
        <w:t>氮、血肌</w:t>
      </w:r>
      <w:proofErr w:type="gramStart"/>
      <w:r>
        <w:rPr>
          <w:rFonts w:eastAsia="仿宋_GB2312"/>
          <w:sz w:val="32"/>
          <w:szCs w:val="32"/>
        </w:rPr>
        <w:t>酐</w:t>
      </w:r>
      <w:proofErr w:type="gramEnd"/>
      <w:r>
        <w:rPr>
          <w:rFonts w:eastAsia="仿宋_GB2312"/>
          <w:sz w:val="32"/>
          <w:szCs w:val="32"/>
        </w:rPr>
        <w:t>；（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）估算肾小球滤过率；（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）尿蛋白定量；（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）残余肾功能。</w:t>
      </w:r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并发症相关指标：包括但不限于以下任何一项，（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C-</w:t>
      </w:r>
      <w:r>
        <w:rPr>
          <w:rFonts w:eastAsia="仿宋_GB2312"/>
          <w:sz w:val="32"/>
          <w:szCs w:val="32"/>
        </w:rPr>
        <w:t>反应蛋白；（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）甘油三酯、总胆固醇；（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）血糖；（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）二氧化碳结合力；（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血</w:t>
      </w:r>
      <w:r>
        <w:rPr>
          <w:rFonts w:eastAsia="仿宋_GB2312"/>
          <w:sz w:val="32"/>
          <w:szCs w:val="32"/>
        </w:rPr>
        <w:t>电解质（钾、钠、氯、钙、磷）；（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）肝</w:t>
      </w:r>
      <w:r>
        <w:rPr>
          <w:rFonts w:eastAsia="仿宋_GB2312" w:hint="eastAsia"/>
          <w:sz w:val="32"/>
          <w:szCs w:val="32"/>
        </w:rPr>
        <w:t>损伤指标</w:t>
      </w:r>
      <w:r>
        <w:rPr>
          <w:rFonts w:eastAsia="仿宋_GB2312"/>
          <w:sz w:val="32"/>
          <w:szCs w:val="32"/>
        </w:rPr>
        <w:t>（谷丙转氨酶、谷草转氨酶等）。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94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七、结果判定</w:t>
      </w:r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z w:val="32"/>
          <w:szCs w:val="32"/>
        </w:rPr>
        <w:t>如</w:t>
      </w:r>
      <w:r>
        <w:rPr>
          <w:rFonts w:eastAsia="仿宋_GB2312"/>
          <w:spacing w:val="-4"/>
          <w:sz w:val="32"/>
          <w:szCs w:val="32"/>
        </w:rPr>
        <w:t>与已经批准注册全营养配方食品</w:t>
      </w:r>
      <w:r>
        <w:rPr>
          <w:rFonts w:eastAsia="仿宋_GB2312" w:hint="eastAsia"/>
          <w:sz w:val="32"/>
          <w:szCs w:val="32"/>
        </w:rPr>
        <w:t>或相应类别的肠内营养制剂</w:t>
      </w:r>
      <w:r>
        <w:rPr>
          <w:rFonts w:eastAsia="仿宋_GB2312"/>
          <w:spacing w:val="-4"/>
          <w:sz w:val="32"/>
          <w:szCs w:val="32"/>
        </w:rPr>
        <w:t>对照，当试验用</w:t>
      </w:r>
      <w:r>
        <w:rPr>
          <w:rFonts w:eastAsia="仿宋_GB2312" w:hint="eastAsia"/>
          <w:spacing w:val="-4"/>
          <w:sz w:val="32"/>
          <w:szCs w:val="32"/>
        </w:rPr>
        <w:t>样</w:t>
      </w:r>
      <w:r>
        <w:rPr>
          <w:rFonts w:eastAsia="仿宋_GB2312"/>
          <w:spacing w:val="-4"/>
          <w:sz w:val="32"/>
          <w:szCs w:val="32"/>
        </w:rPr>
        <w:t>品满足安全性、营养充足性和特殊医学用途临床效果均不劣于全营养配方食品，</w:t>
      </w:r>
      <w:proofErr w:type="gramStart"/>
      <w:r>
        <w:rPr>
          <w:rFonts w:eastAsia="仿宋_GB2312"/>
          <w:spacing w:val="-4"/>
          <w:sz w:val="32"/>
          <w:szCs w:val="32"/>
        </w:rPr>
        <w:t>且特殊</w:t>
      </w:r>
      <w:proofErr w:type="gramEnd"/>
      <w:r>
        <w:rPr>
          <w:rFonts w:eastAsia="仿宋_GB2312"/>
          <w:spacing w:val="-4"/>
          <w:sz w:val="32"/>
          <w:szCs w:val="32"/>
        </w:rPr>
        <w:t>医学用途临床效果至少有一项指标优于全营养配方食品时，考虑此</w:t>
      </w:r>
      <w:r>
        <w:rPr>
          <w:rFonts w:eastAsia="仿宋_GB2312" w:hint="eastAsia"/>
          <w:spacing w:val="-4"/>
          <w:sz w:val="32"/>
          <w:szCs w:val="32"/>
        </w:rPr>
        <w:t>产</w:t>
      </w:r>
      <w:r>
        <w:rPr>
          <w:rFonts w:eastAsia="仿宋_GB2312"/>
          <w:spacing w:val="-4"/>
          <w:sz w:val="32"/>
          <w:szCs w:val="32"/>
        </w:rPr>
        <w:t>品可作为</w:t>
      </w:r>
      <w:r>
        <w:rPr>
          <w:rFonts w:eastAsia="仿宋_GB2312" w:hint="eastAsia"/>
          <w:color w:val="000000"/>
          <w:sz w:val="32"/>
          <w:szCs w:val="32"/>
        </w:rPr>
        <w:t>特殊医学用途</w:t>
      </w:r>
      <w:r>
        <w:rPr>
          <w:rFonts w:eastAsia="仿宋_GB2312"/>
          <w:spacing w:val="-4"/>
          <w:sz w:val="32"/>
          <w:szCs w:val="32"/>
        </w:rPr>
        <w:t>肾病全营养配方食品。</w:t>
      </w:r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如与已经批准注册的</w:t>
      </w:r>
      <w:r>
        <w:rPr>
          <w:rFonts w:eastAsia="仿宋_GB2312"/>
          <w:spacing w:val="-4"/>
          <w:sz w:val="32"/>
          <w:szCs w:val="32"/>
        </w:rPr>
        <w:t>特殊医学用途</w:t>
      </w:r>
      <w:r>
        <w:rPr>
          <w:rFonts w:eastAsia="仿宋_GB2312"/>
          <w:sz w:val="32"/>
          <w:szCs w:val="32"/>
        </w:rPr>
        <w:t>肾病全营养配方食品或</w:t>
      </w:r>
      <w:r>
        <w:rPr>
          <w:rFonts w:eastAsia="仿宋_GB2312" w:hint="eastAsia"/>
          <w:sz w:val="32"/>
          <w:szCs w:val="32"/>
        </w:rPr>
        <w:t>相应类别的</w:t>
      </w:r>
      <w:r>
        <w:rPr>
          <w:rFonts w:eastAsia="仿宋_GB2312"/>
          <w:sz w:val="32"/>
          <w:szCs w:val="32"/>
        </w:rPr>
        <w:t>肠内营养制剂对照，当试验用样品满足安全性、营养充足性和特殊医学用途临床效果均不劣于对照样品时，考虑此</w:t>
      </w:r>
      <w:r>
        <w:rPr>
          <w:rFonts w:eastAsia="仿宋_GB2312" w:hint="eastAsia"/>
          <w:sz w:val="32"/>
          <w:szCs w:val="32"/>
        </w:rPr>
        <w:t>产</w:t>
      </w:r>
      <w:r>
        <w:rPr>
          <w:rFonts w:eastAsia="仿宋_GB2312"/>
          <w:sz w:val="32"/>
          <w:szCs w:val="32"/>
        </w:rPr>
        <w:t>品可作为</w:t>
      </w:r>
      <w:r>
        <w:rPr>
          <w:rFonts w:eastAsia="仿宋_GB2312" w:hint="eastAsia"/>
          <w:color w:val="000000"/>
          <w:sz w:val="32"/>
          <w:szCs w:val="32"/>
        </w:rPr>
        <w:t>特殊医学用途</w:t>
      </w:r>
      <w:r>
        <w:rPr>
          <w:rFonts w:eastAsia="仿宋_GB2312"/>
          <w:sz w:val="32"/>
          <w:szCs w:val="32"/>
        </w:rPr>
        <w:t>肾病全营养配方食品。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94" w:lineRule="exact"/>
        <w:ind w:firstLineChars="200" w:firstLine="640"/>
        <w:rPr>
          <w:rFonts w:ascii="楷体_GB2312" w:eastAsia="楷体_GB2312"/>
          <w:sz w:val="40"/>
          <w:szCs w:val="40"/>
        </w:rPr>
      </w:pPr>
      <w:r>
        <w:rPr>
          <w:rFonts w:ascii="楷体_GB2312" w:eastAsia="楷体_GB2312" w:hint="eastAsia"/>
          <w:sz w:val="32"/>
          <w:szCs w:val="32"/>
        </w:rPr>
        <w:t>（一）安全性判定</w:t>
      </w:r>
    </w:p>
    <w:p w:rsidR="0092594D" w:rsidRPr="00E63653" w:rsidRDefault="0092594D" w:rsidP="0092594D">
      <w:pPr>
        <w:pStyle w:val="2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 w:rsidRPr="00D4072A">
        <w:rPr>
          <w:rFonts w:eastAsia="仿宋_GB2312"/>
          <w:sz w:val="32"/>
          <w:szCs w:val="32"/>
        </w:rPr>
        <w:t>试验组</w:t>
      </w:r>
      <w:r w:rsidRPr="00D4072A">
        <w:rPr>
          <w:rFonts w:eastAsia="仿宋_GB2312" w:hint="eastAsia"/>
          <w:sz w:val="32"/>
          <w:szCs w:val="32"/>
        </w:rPr>
        <w:t>与</w:t>
      </w:r>
      <w:r w:rsidRPr="00DA1CE0">
        <w:rPr>
          <w:rFonts w:eastAsia="仿宋_GB2312"/>
          <w:sz w:val="32"/>
          <w:szCs w:val="32"/>
        </w:rPr>
        <w:t>对照组相比，胃肠道</w:t>
      </w:r>
      <w:r w:rsidRPr="00E63653">
        <w:rPr>
          <w:rFonts w:eastAsia="仿宋_GB2312" w:hint="eastAsia"/>
          <w:sz w:val="32"/>
          <w:szCs w:val="32"/>
        </w:rPr>
        <w:t>症状、</w:t>
      </w:r>
      <w:r w:rsidRPr="00E63653">
        <w:rPr>
          <w:rFonts w:eastAsia="仿宋_GB2312"/>
          <w:sz w:val="32"/>
          <w:szCs w:val="32"/>
        </w:rPr>
        <w:t>导管相关并发症</w:t>
      </w:r>
      <w:r w:rsidRPr="00571844">
        <w:rPr>
          <w:rFonts w:eastAsia="仿宋_GB2312" w:hint="eastAsia"/>
          <w:sz w:val="32"/>
          <w:szCs w:val="32"/>
        </w:rPr>
        <w:t>、</w:t>
      </w:r>
      <w:r w:rsidRPr="00E63653">
        <w:rPr>
          <w:rFonts w:eastAsia="仿宋_GB2312"/>
          <w:sz w:val="32"/>
          <w:szCs w:val="32"/>
        </w:rPr>
        <w:t>与样品相关</w:t>
      </w:r>
      <w:r w:rsidRPr="00E63653">
        <w:rPr>
          <w:rFonts w:eastAsia="仿宋_GB2312" w:hint="eastAsia"/>
          <w:sz w:val="32"/>
          <w:szCs w:val="32"/>
        </w:rPr>
        <w:t>和（或）</w:t>
      </w:r>
      <w:r w:rsidRPr="00E63653">
        <w:rPr>
          <w:rFonts w:eastAsia="仿宋_GB2312"/>
          <w:sz w:val="32"/>
          <w:szCs w:val="32"/>
        </w:rPr>
        <w:t>可能相关的不良事件</w:t>
      </w:r>
      <w:r>
        <w:rPr>
          <w:rFonts w:eastAsia="仿宋_GB2312"/>
          <w:sz w:val="32"/>
          <w:szCs w:val="32"/>
        </w:rPr>
        <w:t>和</w:t>
      </w:r>
      <w:r>
        <w:rPr>
          <w:rFonts w:eastAsia="仿宋_GB2312" w:hint="eastAsia"/>
          <w:sz w:val="32"/>
          <w:szCs w:val="32"/>
        </w:rPr>
        <w:t>（</w:t>
      </w:r>
      <w:r w:rsidRPr="00722658">
        <w:rPr>
          <w:rFonts w:eastAsia="仿宋_GB2312"/>
          <w:sz w:val="32"/>
          <w:szCs w:val="32"/>
        </w:rPr>
        <w:t>或</w:t>
      </w:r>
      <w:r>
        <w:rPr>
          <w:rFonts w:eastAsia="仿宋_GB2312" w:hint="eastAsia"/>
          <w:sz w:val="32"/>
          <w:szCs w:val="32"/>
        </w:rPr>
        <w:t>）不良</w:t>
      </w:r>
      <w:r>
        <w:rPr>
          <w:rFonts w:eastAsia="仿宋_GB2312"/>
          <w:sz w:val="32"/>
          <w:szCs w:val="32"/>
        </w:rPr>
        <w:t>反应</w:t>
      </w:r>
      <w:r w:rsidRPr="00D4072A">
        <w:rPr>
          <w:rFonts w:eastAsia="仿宋_GB2312" w:hint="eastAsia"/>
          <w:sz w:val="32"/>
          <w:szCs w:val="32"/>
        </w:rPr>
        <w:t>等均</w:t>
      </w:r>
      <w:r w:rsidRPr="00D4072A">
        <w:rPr>
          <w:rFonts w:eastAsia="仿宋_GB2312"/>
          <w:sz w:val="32"/>
          <w:szCs w:val="32"/>
        </w:rPr>
        <w:t>不劣于对照组</w:t>
      </w:r>
      <w:r w:rsidRPr="00DA1CE0">
        <w:rPr>
          <w:rFonts w:eastAsia="仿宋_GB2312" w:hint="eastAsia"/>
          <w:sz w:val="32"/>
          <w:szCs w:val="32"/>
        </w:rPr>
        <w:t>，可</w:t>
      </w:r>
      <w:r w:rsidRPr="00E63653">
        <w:rPr>
          <w:rFonts w:eastAsia="仿宋_GB2312"/>
          <w:sz w:val="32"/>
          <w:szCs w:val="32"/>
        </w:rPr>
        <w:t>判定</w:t>
      </w:r>
      <w:r w:rsidRPr="00E63653">
        <w:rPr>
          <w:rFonts w:eastAsia="仿宋_GB2312" w:hint="eastAsia"/>
          <w:sz w:val="32"/>
          <w:szCs w:val="32"/>
        </w:rPr>
        <w:t>试验用样品安全</w:t>
      </w:r>
      <w:r w:rsidRPr="00571844">
        <w:rPr>
          <w:rFonts w:eastAsia="仿宋_GB2312"/>
          <w:sz w:val="32"/>
          <w:szCs w:val="32"/>
        </w:rPr>
        <w:t>性不劣于对照组</w:t>
      </w:r>
      <w:r w:rsidRPr="00E63653">
        <w:rPr>
          <w:rFonts w:eastAsia="仿宋_GB2312" w:hint="eastAsia"/>
          <w:sz w:val="32"/>
          <w:szCs w:val="32"/>
        </w:rPr>
        <w:t>。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94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>（二）营养充足性判定</w:t>
      </w:r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试验组</w:t>
      </w:r>
      <w:r>
        <w:rPr>
          <w:rFonts w:eastAsia="仿宋_GB2312" w:hint="eastAsia"/>
          <w:sz w:val="32"/>
          <w:szCs w:val="32"/>
        </w:rPr>
        <w:t>与</w:t>
      </w:r>
      <w:r>
        <w:rPr>
          <w:rFonts w:eastAsia="仿宋_GB2312"/>
          <w:sz w:val="32"/>
          <w:szCs w:val="32"/>
        </w:rPr>
        <w:t>对照组相比，体重、体质指数、体成分、</w:t>
      </w:r>
      <w:r>
        <w:rPr>
          <w:rFonts w:eastAsia="仿宋_GB2312"/>
          <w:color w:val="000000"/>
          <w:sz w:val="32"/>
          <w:szCs w:val="32"/>
        </w:rPr>
        <w:t>血清白蛋白</w:t>
      </w:r>
      <w:r>
        <w:rPr>
          <w:rFonts w:eastAsia="仿宋_GB2312"/>
          <w:sz w:val="32"/>
          <w:szCs w:val="32"/>
        </w:rPr>
        <w:t>、总蛋白、血红蛋白等指标维持或改善程度均不劣于对照组时，</w:t>
      </w:r>
      <w:r>
        <w:rPr>
          <w:rFonts w:eastAsia="仿宋_GB2312" w:hint="eastAsia"/>
          <w:sz w:val="32"/>
          <w:szCs w:val="32"/>
        </w:rPr>
        <w:lastRenderedPageBreak/>
        <w:t>可</w:t>
      </w:r>
      <w:r>
        <w:rPr>
          <w:rFonts w:eastAsia="仿宋_GB2312"/>
          <w:sz w:val="32"/>
          <w:szCs w:val="32"/>
        </w:rPr>
        <w:t>判定</w:t>
      </w:r>
      <w:r>
        <w:rPr>
          <w:rFonts w:eastAsia="仿宋_GB2312" w:hint="eastAsia"/>
          <w:sz w:val="32"/>
          <w:szCs w:val="32"/>
        </w:rPr>
        <w:t>试验用样品</w:t>
      </w:r>
      <w:r>
        <w:rPr>
          <w:rFonts w:eastAsia="仿宋_GB2312"/>
          <w:sz w:val="32"/>
          <w:szCs w:val="32"/>
        </w:rPr>
        <w:t>营养充足性不劣于对照组。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94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>（三）特殊医学用途临床效果判定</w:t>
      </w:r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特殊医学用途临床效果判定主要考虑以下指标：</w:t>
      </w:r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肾功能相关指标；</w:t>
      </w:r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并发症相关指标；</w:t>
      </w:r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试验组</w:t>
      </w:r>
      <w:r>
        <w:rPr>
          <w:rFonts w:eastAsia="仿宋_GB2312" w:hint="eastAsia"/>
          <w:sz w:val="32"/>
          <w:szCs w:val="32"/>
        </w:rPr>
        <w:t>与</w:t>
      </w:r>
      <w:r>
        <w:rPr>
          <w:rFonts w:eastAsia="仿宋_GB2312"/>
          <w:sz w:val="32"/>
          <w:szCs w:val="32"/>
        </w:rPr>
        <w:t>对照组相比，当上述指标均不劣于对照组</w:t>
      </w:r>
      <w:r>
        <w:rPr>
          <w:rFonts w:eastAsia="仿宋_GB2312" w:hint="eastAsia"/>
          <w:sz w:val="32"/>
          <w:szCs w:val="32"/>
        </w:rPr>
        <w:t>时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可</w:t>
      </w:r>
      <w:r>
        <w:rPr>
          <w:rFonts w:eastAsia="仿宋_GB2312"/>
          <w:sz w:val="32"/>
          <w:szCs w:val="32"/>
        </w:rPr>
        <w:t>判定</w:t>
      </w:r>
      <w:r>
        <w:rPr>
          <w:rFonts w:eastAsia="仿宋_GB2312" w:hint="eastAsia"/>
          <w:sz w:val="32"/>
          <w:szCs w:val="32"/>
        </w:rPr>
        <w:t>试验用样品</w:t>
      </w:r>
      <w:r>
        <w:rPr>
          <w:rFonts w:eastAsia="仿宋_GB2312"/>
          <w:sz w:val="32"/>
          <w:szCs w:val="32"/>
        </w:rPr>
        <w:t>临床效果不劣于对照组；当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中</w:t>
      </w:r>
      <w:r>
        <w:rPr>
          <w:rFonts w:eastAsia="仿宋_GB2312"/>
          <w:sz w:val="32"/>
          <w:szCs w:val="32"/>
        </w:rPr>
        <w:t>至少有一项优于对照组而其他指标不劣于对照组时，</w:t>
      </w:r>
      <w:r>
        <w:rPr>
          <w:rFonts w:eastAsia="仿宋_GB2312" w:hint="eastAsia"/>
          <w:sz w:val="32"/>
          <w:szCs w:val="32"/>
        </w:rPr>
        <w:t>可</w:t>
      </w:r>
      <w:r>
        <w:rPr>
          <w:rFonts w:eastAsia="仿宋_GB2312"/>
          <w:sz w:val="32"/>
          <w:szCs w:val="32"/>
        </w:rPr>
        <w:t>判定</w:t>
      </w:r>
      <w:r>
        <w:rPr>
          <w:rFonts w:eastAsia="仿宋_GB2312" w:hint="eastAsia"/>
          <w:sz w:val="32"/>
          <w:szCs w:val="32"/>
        </w:rPr>
        <w:t>试验用样品</w:t>
      </w:r>
      <w:r>
        <w:rPr>
          <w:rFonts w:eastAsia="仿宋_GB2312"/>
          <w:sz w:val="32"/>
          <w:szCs w:val="32"/>
        </w:rPr>
        <w:t>临床效果优于对照组。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94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八、数据管理与统计分析</w:t>
      </w:r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参照《特殊医学用途配方食品临床试验质量管理规范（试行）》有关内容执行。</w:t>
      </w:r>
    </w:p>
    <w:p w:rsidR="0092594D" w:rsidRDefault="0092594D" w:rsidP="0092594D">
      <w:pPr>
        <w:spacing w:line="594" w:lineRule="exact"/>
        <w:rPr>
          <w:rFonts w:eastAsia="仿宋_GB2312"/>
          <w:sz w:val="32"/>
          <w:szCs w:val="32"/>
        </w:rPr>
      </w:pPr>
    </w:p>
    <w:p w:rsidR="0092594D" w:rsidRDefault="0092594D" w:rsidP="0092594D">
      <w:pPr>
        <w:spacing w:line="594" w:lineRule="exact"/>
        <w:rPr>
          <w:rFonts w:eastAsia="仿宋_GB2312"/>
          <w:sz w:val="32"/>
          <w:szCs w:val="32"/>
        </w:rPr>
      </w:pPr>
    </w:p>
    <w:p w:rsidR="0092594D" w:rsidRDefault="0092594D" w:rsidP="0092594D">
      <w:pPr>
        <w:spacing w:line="594" w:lineRule="exact"/>
        <w:rPr>
          <w:rFonts w:eastAsia="仿宋_GB2312"/>
          <w:sz w:val="32"/>
          <w:szCs w:val="32"/>
        </w:rPr>
      </w:pPr>
    </w:p>
    <w:p w:rsidR="0092594D" w:rsidRDefault="0092594D" w:rsidP="0092594D">
      <w:pPr>
        <w:spacing w:line="594" w:lineRule="exact"/>
        <w:rPr>
          <w:rFonts w:eastAsia="仿宋_GB2312"/>
          <w:sz w:val="32"/>
          <w:szCs w:val="32"/>
        </w:rPr>
      </w:pPr>
    </w:p>
    <w:p w:rsidR="0092594D" w:rsidRDefault="0092594D" w:rsidP="0092594D">
      <w:pPr>
        <w:spacing w:line="594" w:lineRule="exact"/>
        <w:rPr>
          <w:rFonts w:eastAsia="仿宋_GB2312"/>
          <w:sz w:val="32"/>
          <w:szCs w:val="32"/>
        </w:rPr>
      </w:pPr>
    </w:p>
    <w:p w:rsidR="0092594D" w:rsidRDefault="0092594D" w:rsidP="0092594D">
      <w:pPr>
        <w:spacing w:line="594" w:lineRule="exact"/>
        <w:rPr>
          <w:rFonts w:eastAsia="仿宋_GB2312"/>
          <w:sz w:val="32"/>
          <w:szCs w:val="32"/>
        </w:rPr>
      </w:pPr>
    </w:p>
    <w:p w:rsidR="0092594D" w:rsidRDefault="0092594D" w:rsidP="0092594D">
      <w:pPr>
        <w:spacing w:line="594" w:lineRule="exact"/>
        <w:rPr>
          <w:rFonts w:eastAsia="仿宋_GB2312"/>
          <w:sz w:val="32"/>
          <w:szCs w:val="32"/>
        </w:rPr>
      </w:pPr>
    </w:p>
    <w:p w:rsidR="0092594D" w:rsidRDefault="0092594D" w:rsidP="0092594D">
      <w:pPr>
        <w:spacing w:line="594" w:lineRule="exact"/>
        <w:rPr>
          <w:rFonts w:eastAsia="仿宋_GB2312"/>
          <w:sz w:val="32"/>
          <w:szCs w:val="32"/>
        </w:rPr>
      </w:pPr>
    </w:p>
    <w:p w:rsidR="0092594D" w:rsidRDefault="0092594D" w:rsidP="0092594D">
      <w:pPr>
        <w:spacing w:line="594" w:lineRule="exact"/>
        <w:rPr>
          <w:rFonts w:eastAsia="仿宋_GB2312"/>
          <w:sz w:val="32"/>
          <w:szCs w:val="32"/>
        </w:rPr>
      </w:pPr>
    </w:p>
    <w:p w:rsidR="0092594D" w:rsidRDefault="0092594D" w:rsidP="0092594D">
      <w:pPr>
        <w:spacing w:line="594" w:lineRule="exact"/>
        <w:rPr>
          <w:rFonts w:eastAsia="仿宋_GB2312"/>
          <w:sz w:val="32"/>
          <w:szCs w:val="32"/>
        </w:rPr>
      </w:pPr>
    </w:p>
    <w:p w:rsidR="0092594D" w:rsidRDefault="0092594D" w:rsidP="0092594D">
      <w:pPr>
        <w:spacing w:line="594" w:lineRule="exact"/>
        <w:rPr>
          <w:rFonts w:eastAsia="仿宋_GB2312"/>
          <w:sz w:val="32"/>
          <w:szCs w:val="32"/>
        </w:rPr>
      </w:pPr>
    </w:p>
    <w:p w:rsidR="0092594D" w:rsidRDefault="0092594D" w:rsidP="0092594D">
      <w:pPr>
        <w:spacing w:line="594" w:lineRule="exact"/>
        <w:rPr>
          <w:rFonts w:eastAsia="仿宋_GB2312"/>
          <w:sz w:val="32"/>
          <w:szCs w:val="32"/>
        </w:rPr>
      </w:pPr>
    </w:p>
    <w:p w:rsidR="0092594D" w:rsidRDefault="0092594D" w:rsidP="0092594D">
      <w:pPr>
        <w:spacing w:line="594" w:lineRule="exact"/>
        <w:rPr>
          <w:rFonts w:eastAsia="仿宋_GB2312"/>
          <w:sz w:val="32"/>
          <w:szCs w:val="32"/>
        </w:rPr>
      </w:pPr>
    </w:p>
    <w:p w:rsidR="0092594D" w:rsidRDefault="0092594D" w:rsidP="0092594D">
      <w:pPr>
        <w:spacing w:line="594" w:lineRule="exact"/>
        <w:rPr>
          <w:rFonts w:eastAsia="仿宋_GB2312"/>
          <w:sz w:val="32"/>
          <w:szCs w:val="32"/>
        </w:rPr>
      </w:pPr>
    </w:p>
    <w:p w:rsidR="0092594D" w:rsidRDefault="0092594D" w:rsidP="0092594D">
      <w:pPr>
        <w:spacing w:line="594" w:lineRule="exact"/>
        <w:rPr>
          <w:rFonts w:eastAsia="仿宋_GB2312"/>
          <w:sz w:val="32"/>
          <w:szCs w:val="32"/>
        </w:rPr>
      </w:pPr>
    </w:p>
    <w:p w:rsidR="0092594D" w:rsidRDefault="0092594D" w:rsidP="0092594D">
      <w:pPr>
        <w:spacing w:line="594" w:lineRule="exact"/>
        <w:rPr>
          <w:rFonts w:eastAsia="仿宋_GB2312"/>
          <w:sz w:val="32"/>
          <w:szCs w:val="32"/>
        </w:rPr>
      </w:pPr>
    </w:p>
    <w:bookmarkEnd w:id="0"/>
    <w:p w:rsidR="00E97049" w:rsidRPr="0092594D" w:rsidRDefault="00E97049"/>
    <w:sectPr w:rsidR="00E97049" w:rsidRPr="0092594D" w:rsidSect="00451FA6">
      <w:footerReference w:type="even" r:id="rId8"/>
      <w:footerReference w:type="default" r:id="rId9"/>
      <w:pgSz w:w="11906" w:h="16838" w:code="9"/>
      <w:pgMar w:top="1701" w:right="1474" w:bottom="1134" w:left="1474" w:header="851" w:footer="119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551" w:rsidRDefault="001C2551" w:rsidP="0092594D">
      <w:r>
        <w:separator/>
      </w:r>
    </w:p>
  </w:endnote>
  <w:endnote w:type="continuationSeparator" w:id="0">
    <w:p w:rsidR="001C2551" w:rsidRDefault="001C2551" w:rsidP="0092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D74" w:rsidRPr="00BA4E25" w:rsidRDefault="000357CB" w:rsidP="00307C86">
    <w:pPr>
      <w:pStyle w:val="a4"/>
      <w:framePr w:wrap="around" w:vAnchor="text" w:hAnchor="page" w:x="1532" w:y="256"/>
      <w:ind w:leftChars="100" w:left="210" w:firstLineChars="50" w:firstLine="140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 xml:space="preserve">— </w:t>
    </w:r>
    <w:r>
      <w:rPr>
        <w:rStyle w:val="a5"/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 PAGE  \* Arabic </w:instrText>
    </w:r>
    <w:r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24</w:t>
    </w:r>
    <w:r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</w:t>
    </w:r>
  </w:p>
  <w:p w:rsidR="008B3D74" w:rsidRDefault="001C2551" w:rsidP="003367EA">
    <w:pPr>
      <w:pStyle w:val="a4"/>
      <w:spacing w:line="20" w:lineRule="exact"/>
      <w:ind w:right="35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D74" w:rsidRPr="00547FE6" w:rsidRDefault="000357CB" w:rsidP="00307C86">
    <w:pPr>
      <w:pStyle w:val="a4"/>
      <w:framePr w:wrap="around" w:vAnchor="text" w:hAnchor="page" w:x="9045" w:y="256"/>
      <w:ind w:rightChars="100" w:right="210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 xml:space="preserve">— </w:t>
    </w:r>
    <w:r>
      <w:rPr>
        <w:rStyle w:val="a5"/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 PAGE  \* Arabic </w:instrText>
    </w:r>
    <w:r>
      <w:rPr>
        <w:rStyle w:val="a5"/>
        <w:rFonts w:ascii="宋体" w:hAnsi="宋体"/>
        <w:sz w:val="28"/>
        <w:szCs w:val="28"/>
      </w:rPr>
      <w:fldChar w:fldCharType="separate"/>
    </w:r>
    <w:r w:rsidR="002F4A21">
      <w:rPr>
        <w:rStyle w:val="a5"/>
        <w:rFonts w:ascii="宋体" w:hAnsi="宋体"/>
        <w:noProof/>
        <w:sz w:val="28"/>
        <w:szCs w:val="28"/>
      </w:rPr>
      <w:t>8</w:t>
    </w:r>
    <w:r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  </w:t>
    </w:r>
  </w:p>
  <w:p w:rsidR="008B3D74" w:rsidRDefault="001C2551" w:rsidP="003367EA">
    <w:pPr>
      <w:pStyle w:val="a4"/>
      <w:spacing w:line="20" w:lineRule="exact"/>
      <w:ind w:right="35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551" w:rsidRDefault="001C2551" w:rsidP="0092594D">
      <w:r>
        <w:separator/>
      </w:r>
    </w:p>
  </w:footnote>
  <w:footnote w:type="continuationSeparator" w:id="0">
    <w:p w:rsidR="001C2551" w:rsidRDefault="001C2551" w:rsidP="00925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4E6A"/>
    <w:multiLevelType w:val="hybridMultilevel"/>
    <w:tmpl w:val="1CEAC5E4"/>
    <w:lvl w:ilvl="0" w:tplc="21D437F4">
      <w:start w:val="4"/>
      <w:numFmt w:val="japaneseCounting"/>
      <w:lvlText w:val="（%1）"/>
      <w:lvlJc w:val="left"/>
      <w:pPr>
        <w:ind w:left="1720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lowerLetter"/>
      <w:lvlText w:val="%5)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lowerLetter"/>
      <w:lvlText w:val="%8)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94D"/>
    <w:rsid w:val="000357CB"/>
    <w:rsid w:val="00082BEC"/>
    <w:rsid w:val="001C2551"/>
    <w:rsid w:val="002F4A21"/>
    <w:rsid w:val="008A1BB8"/>
    <w:rsid w:val="0092594D"/>
    <w:rsid w:val="00A5786C"/>
    <w:rsid w:val="00E97049"/>
    <w:rsid w:val="00F2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E7883F-E7C0-4054-9EDE-C005E46FA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9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5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594D"/>
    <w:rPr>
      <w:sz w:val="18"/>
      <w:szCs w:val="18"/>
    </w:rPr>
  </w:style>
  <w:style w:type="paragraph" w:styleId="a4">
    <w:name w:val="footer"/>
    <w:basedOn w:val="a"/>
    <w:link w:val="Char0"/>
    <w:unhideWhenUsed/>
    <w:rsid w:val="009259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594D"/>
    <w:rPr>
      <w:sz w:val="18"/>
      <w:szCs w:val="18"/>
    </w:rPr>
  </w:style>
  <w:style w:type="character" w:styleId="a5">
    <w:name w:val="page number"/>
    <w:basedOn w:val="a0"/>
    <w:rsid w:val="0092594D"/>
  </w:style>
  <w:style w:type="paragraph" w:styleId="2">
    <w:name w:val="Body Text 2"/>
    <w:basedOn w:val="a"/>
    <w:link w:val="2Char"/>
    <w:uiPriority w:val="99"/>
    <w:unhideWhenUsed/>
    <w:qFormat/>
    <w:rsid w:val="0092594D"/>
    <w:pPr>
      <w:spacing w:line="480" w:lineRule="auto"/>
    </w:pPr>
  </w:style>
  <w:style w:type="character" w:customStyle="1" w:styleId="2Char">
    <w:name w:val="正文文本 2 Char"/>
    <w:basedOn w:val="a0"/>
    <w:link w:val="2"/>
    <w:uiPriority w:val="99"/>
    <w:qFormat/>
    <w:rsid w:val="0092594D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64718-1FB8-48BC-BC36-6F4D4F5EB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454</Words>
  <Characters>2589</Characters>
  <Application>Microsoft Office Word</Application>
  <DocSecurity>0</DocSecurity>
  <Lines>21</Lines>
  <Paragraphs>6</Paragraphs>
  <ScaleCrop>false</ScaleCrop>
  <Company>SAMR</Company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郭洋</dc:creator>
  <cp:lastModifiedBy>CIRS</cp:lastModifiedBy>
  <cp:revision>4</cp:revision>
  <dcterms:created xsi:type="dcterms:W3CDTF">2019-10-22T04:59:00Z</dcterms:created>
  <dcterms:modified xsi:type="dcterms:W3CDTF">2019-10-25T06:34:00Z</dcterms:modified>
</cp:coreProperties>
</file>