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CAC" w:rsidRPr="003D1CAC" w:rsidRDefault="003D1CAC" w:rsidP="003D1CAC">
      <w:pPr>
        <w:widowControl/>
        <w:jc w:val="left"/>
        <w:rPr>
          <w:rFonts w:ascii="Times New Roman" w:eastAsia="仿宋" w:hAnsi="Times New Roman" w:cs="Times New Roman"/>
          <w:sz w:val="28"/>
          <w:szCs w:val="24"/>
        </w:rPr>
      </w:pPr>
      <w:r w:rsidRPr="003D1CAC">
        <w:rPr>
          <w:rFonts w:ascii="Times New Roman" w:eastAsia="仿宋" w:hAnsi="Times New Roman" w:cs="Times New Roman" w:hint="eastAsia"/>
          <w:sz w:val="28"/>
          <w:szCs w:val="24"/>
        </w:rPr>
        <w:t>中文名称：《特殊医学用途配方食品通则》（</w:t>
      </w:r>
      <w:r w:rsidRPr="003D1CAC">
        <w:rPr>
          <w:rFonts w:ascii="Times New Roman" w:eastAsia="仿宋" w:hAnsi="Times New Roman" w:cs="Times New Roman"/>
          <w:sz w:val="28"/>
          <w:szCs w:val="24"/>
        </w:rPr>
        <w:t>GB29922-2013</w:t>
      </w:r>
      <w:r w:rsidRPr="003D1CAC">
        <w:rPr>
          <w:rFonts w:ascii="Times New Roman" w:eastAsia="仿宋" w:hAnsi="Times New Roman" w:cs="Times New Roman" w:hint="eastAsia"/>
          <w:sz w:val="28"/>
          <w:szCs w:val="24"/>
        </w:rPr>
        <w:t>）问答</w:t>
      </w:r>
    </w:p>
    <w:p w:rsidR="003D1CAC" w:rsidRPr="003D1CAC" w:rsidRDefault="003D1CAC" w:rsidP="003D1CAC">
      <w:pPr>
        <w:widowControl/>
        <w:jc w:val="left"/>
        <w:rPr>
          <w:rFonts w:ascii="Times New Roman" w:eastAsia="仿宋" w:hAnsi="Times New Roman" w:cs="Times New Roman"/>
          <w:sz w:val="28"/>
          <w:szCs w:val="24"/>
        </w:rPr>
      </w:pPr>
      <w:r w:rsidRPr="003D1CAC">
        <w:rPr>
          <w:rFonts w:ascii="Times New Roman" w:eastAsia="仿宋" w:hAnsi="Times New Roman" w:cs="Times New Roman" w:hint="eastAsia"/>
          <w:sz w:val="28"/>
          <w:szCs w:val="24"/>
        </w:rPr>
        <w:t>英文名称：</w:t>
      </w:r>
      <w:r w:rsidRPr="003D1CAC">
        <w:rPr>
          <w:rFonts w:ascii="Times New Roman" w:eastAsia="仿宋" w:hAnsi="Times New Roman" w:cs="Times New Roman"/>
          <w:sz w:val="28"/>
          <w:szCs w:val="24"/>
        </w:rPr>
        <w:t>Q&amp;A of General Rules of Food for Special Medical Purposes</w:t>
      </w:r>
    </w:p>
    <w:p w:rsidR="003D1CAC" w:rsidRPr="003D1CAC" w:rsidRDefault="003D1CAC" w:rsidP="003D1CAC">
      <w:pPr>
        <w:widowControl/>
        <w:jc w:val="left"/>
        <w:rPr>
          <w:rFonts w:ascii="Times New Roman" w:eastAsia="仿宋" w:hAnsi="Times New Roman" w:cs="Times New Roman"/>
          <w:sz w:val="28"/>
          <w:szCs w:val="24"/>
        </w:rPr>
      </w:pPr>
      <w:r w:rsidRPr="003D1CAC">
        <w:rPr>
          <w:rFonts w:ascii="Times New Roman" w:eastAsia="仿宋" w:hAnsi="Times New Roman" w:cs="Times New Roman" w:hint="eastAsia"/>
          <w:sz w:val="28"/>
          <w:szCs w:val="24"/>
        </w:rPr>
        <w:t>状态：现行有效</w:t>
      </w:r>
    </w:p>
    <w:p w:rsidR="003D1CAC" w:rsidRPr="003D1CAC" w:rsidRDefault="003D1CAC" w:rsidP="003D1CAC">
      <w:pPr>
        <w:widowControl/>
        <w:jc w:val="left"/>
        <w:rPr>
          <w:rFonts w:ascii="Times New Roman" w:eastAsia="仿宋" w:hAnsi="Times New Roman" w:cs="Times New Roman"/>
          <w:sz w:val="28"/>
          <w:szCs w:val="24"/>
        </w:rPr>
      </w:pPr>
      <w:r w:rsidRPr="003D1CAC">
        <w:rPr>
          <w:rFonts w:ascii="Times New Roman" w:eastAsia="仿宋" w:hAnsi="Times New Roman" w:cs="Times New Roman" w:hint="eastAsia"/>
          <w:sz w:val="28"/>
          <w:szCs w:val="24"/>
        </w:rPr>
        <w:t>发布时间：</w:t>
      </w:r>
      <w:r w:rsidRPr="003D1CAC">
        <w:rPr>
          <w:rFonts w:ascii="Times New Roman" w:eastAsia="仿宋" w:hAnsi="Times New Roman" w:cs="Times New Roman"/>
          <w:sz w:val="28"/>
          <w:szCs w:val="24"/>
        </w:rPr>
        <w:t>2015/4/15</w:t>
      </w:r>
    </w:p>
    <w:p w:rsidR="003D1CAC" w:rsidRDefault="003D1CAC" w:rsidP="003D1CAC">
      <w:pPr>
        <w:widowControl/>
        <w:jc w:val="left"/>
        <w:rPr>
          <w:rFonts w:ascii="Simsun" w:eastAsia="宋体" w:hAnsi="Simsun" w:cs="宋体" w:hint="eastAsia"/>
          <w:color w:val="000000"/>
          <w:kern w:val="0"/>
          <w:sz w:val="18"/>
          <w:szCs w:val="18"/>
        </w:rPr>
      </w:pPr>
      <w:r w:rsidRPr="003D1CAC">
        <w:rPr>
          <w:rFonts w:ascii="Times New Roman" w:eastAsia="仿宋" w:hAnsi="Times New Roman" w:cs="Times New Roman" w:hint="eastAsia"/>
          <w:sz w:val="28"/>
          <w:szCs w:val="24"/>
        </w:rPr>
        <w:t>发布单位：原国家卫生计生委</w:t>
      </w:r>
      <w:r>
        <w:rPr>
          <w:rFonts w:ascii="Simsun" w:eastAsia="宋体" w:hAnsi="Simsun" w:cs="宋体" w:hint="eastAsia"/>
          <w:color w:val="000000"/>
          <w:kern w:val="0"/>
          <w:sz w:val="18"/>
          <w:szCs w:val="18"/>
        </w:rPr>
        <w:br w:type="page"/>
      </w:r>
    </w:p>
    <w:p w:rsidR="00093779" w:rsidRPr="00093779" w:rsidRDefault="00093779" w:rsidP="00093779">
      <w:pPr>
        <w:widowControl/>
        <w:shd w:val="clear" w:color="auto" w:fill="FFFFFF"/>
        <w:ind w:right="435"/>
        <w:jc w:val="right"/>
        <w:rPr>
          <w:rFonts w:ascii="Simsun" w:eastAsia="宋体" w:hAnsi="Simsun" w:cs="宋体" w:hint="eastAsia"/>
          <w:color w:val="000000"/>
          <w:kern w:val="0"/>
          <w:sz w:val="18"/>
          <w:szCs w:val="18"/>
        </w:rPr>
      </w:pPr>
    </w:p>
    <w:p w:rsidR="00093779" w:rsidRPr="00652F4F" w:rsidRDefault="00093779" w:rsidP="00093779">
      <w:pPr>
        <w:widowControl/>
        <w:shd w:val="clear" w:color="auto" w:fill="FFFFFF"/>
        <w:spacing w:line="600" w:lineRule="atLeast"/>
        <w:jc w:val="center"/>
        <w:rPr>
          <w:rFonts w:ascii="Simsun" w:eastAsia="宋体" w:hAnsi="Simsun" w:cs="宋体" w:hint="eastAsia"/>
          <w:b/>
          <w:bCs/>
          <w:color w:val="003CC8"/>
          <w:kern w:val="0"/>
          <w:sz w:val="33"/>
          <w:szCs w:val="33"/>
        </w:rPr>
      </w:pPr>
      <w:r w:rsidRPr="00652F4F">
        <w:rPr>
          <w:rFonts w:ascii="Simsun" w:eastAsia="宋体" w:hAnsi="Simsun" w:cs="宋体"/>
          <w:b/>
          <w:bCs/>
          <w:color w:val="003CC8"/>
          <w:kern w:val="0"/>
          <w:sz w:val="33"/>
          <w:szCs w:val="33"/>
        </w:rPr>
        <w:t>《特殊医学用途配方食品通则》（</w:t>
      </w:r>
      <w:r w:rsidRPr="00652F4F">
        <w:rPr>
          <w:rFonts w:ascii="Simsun" w:eastAsia="宋体" w:hAnsi="Simsun" w:cs="宋体"/>
          <w:b/>
          <w:bCs/>
          <w:color w:val="003CC8"/>
          <w:kern w:val="0"/>
          <w:sz w:val="33"/>
          <w:szCs w:val="33"/>
        </w:rPr>
        <w:t>GB 29922-2013</w:t>
      </w:r>
      <w:r w:rsidRPr="00652F4F">
        <w:rPr>
          <w:rFonts w:ascii="Simsun" w:eastAsia="宋体" w:hAnsi="Simsun" w:cs="宋体"/>
          <w:b/>
          <w:bCs/>
          <w:color w:val="003CC8"/>
          <w:kern w:val="0"/>
          <w:sz w:val="33"/>
          <w:szCs w:val="33"/>
        </w:rPr>
        <w:t>）问答</w:t>
      </w:r>
    </w:p>
    <w:p w:rsidR="00093779" w:rsidRPr="00652F4F" w:rsidRDefault="00093779" w:rsidP="00093779">
      <w:pPr>
        <w:widowControl/>
        <w:shd w:val="clear" w:color="auto" w:fill="EEEEEE"/>
        <w:spacing w:line="450" w:lineRule="atLeast"/>
        <w:jc w:val="center"/>
        <w:rPr>
          <w:rFonts w:ascii="Simsun" w:eastAsia="宋体" w:hAnsi="Simsun" w:cs="宋体" w:hint="eastAsia"/>
          <w:color w:val="666666"/>
          <w:kern w:val="0"/>
          <w:sz w:val="18"/>
          <w:szCs w:val="18"/>
        </w:rPr>
      </w:pPr>
      <w:r w:rsidRPr="00652F4F">
        <w:rPr>
          <w:rFonts w:ascii="Simsun" w:eastAsia="宋体" w:hAnsi="Simsun" w:cs="宋体"/>
          <w:color w:val="666666"/>
          <w:kern w:val="0"/>
          <w:sz w:val="18"/>
          <w:szCs w:val="18"/>
        </w:rPr>
        <w:t>中华人民共和国国家卫生和计划生育委员会</w:t>
      </w:r>
      <w:r w:rsidRPr="00652F4F">
        <w:rPr>
          <w:rFonts w:ascii="Simsun" w:eastAsia="宋体" w:hAnsi="Simsun" w:cs="宋体"/>
          <w:color w:val="666666"/>
          <w:kern w:val="0"/>
          <w:sz w:val="18"/>
          <w:szCs w:val="18"/>
        </w:rPr>
        <w:t>2015-04-15 </w:t>
      </w:r>
    </w:p>
    <w:p w:rsidR="00093779" w:rsidRPr="00652F4F" w:rsidRDefault="00302426" w:rsidP="00093779">
      <w:pPr>
        <w:widowControl/>
        <w:shd w:val="clear" w:color="auto" w:fill="FFFFFF"/>
        <w:rPr>
          <w:rFonts w:ascii="FangSong_GB2312" w:eastAsia="FangSong_GB2312" w:hAnsi="Simsun" w:cs="宋体" w:hint="eastAsia"/>
          <w:color w:val="000000"/>
          <w:kern w:val="0"/>
          <w:sz w:val="32"/>
          <w:szCs w:val="32"/>
        </w:rPr>
      </w:pP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一、问：什么是特殊医学用途配方食品？</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是为了满足进食受限、消化吸收障碍、代谢紊乱或特定疾病状态人群对营养素或膳食的特殊需要，专门加工配制而成的配方食品。该类产品必须在医生或临床营养师指导下，单独食用或与其他食品配合食用。</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根据不同临床需求和适用人群，《特殊医学用途配方食品通则》（GB 29922-2013）将该类产品分为三类，即全营养配方食品、特定全营养配方食品和非全营养配方食品。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二、问：《特殊医学用途配方食品通则》的制定目的是什么？</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对于进食受限、消化吸收障碍、代谢紊乱或特定疾病状态人群的治疗、康复及机体功能维持等方面起着重要的营养支持作用。我国此前没有相关标准，该类产品的生产、销售与管理缺乏依据，制定本标准的目的在于满足国内临床营养的需求，指导和规范我国特殊医学用途配方食品的生产和使用，保障产品适用人群的营养需求和食用安全。</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三、问：特殊医学用途配方食品的作用有哪些？</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答：特殊医学用途配方食品属于特殊膳食用食品。当目标人群无法进食普通膳食或无法用日常膳食满足其营养需求时，特殊医学用途配方食品可以作为一种营养补充途径，起到营养支持作用。</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针对不同疾病的特异性代谢状态，特殊医学用途配方食品对相应的</w:t>
      </w:r>
      <w:r w:rsidR="00093779" w:rsidRPr="00652F4F">
        <w:rPr>
          <w:rFonts w:ascii="FangSong_GB2312" w:eastAsia="FangSong_GB2312" w:hAnsi="Simsun" w:cs="宋体" w:hint="eastAsia"/>
          <w:color w:val="000000"/>
          <w:kern w:val="0"/>
          <w:sz w:val="32"/>
          <w:szCs w:val="32"/>
        </w:rPr>
        <w:lastRenderedPageBreak/>
        <w:t>营养素含量提出了特别规定，能更好的适应特定疾病状态或疾病某一阶段的营养需求，为患者提供有针对性的营养支持，是进行临床营养支持的一种有效途径。但此类食品不是药品，不能替代药物的治疗作用，产品也不得声称对疾病的预防和治疗功能。</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四、问：《特殊医学用途配方食品通则》的制定原则是什么？</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通则》的制定原则，一是体现了《中华人民共和国食品安全法》的立法宗旨，并严格遵照相关规定，突出安全性要求；二是以临床营养研究为基础，特别是国内研究成果，参考最新中国居民膳食营养素参考摄入量数据，制定产品中各项营养指标的限量，以满足适用人群的营养需求；三是注重科学性与可行性的统一，对于科学依据尚不充分的某些营养支持方案，暂缓制定相应标准；四是借鉴国际管理经验，参考国际食品法典委员会、欧盟、美国、澳大利亚、新西兰等国家和地区的法规相关内容；五是注重与现行相关标准之间的合理衔接；六是坚持公开、透明原则，广泛听取医生、临床营养师、监管部门、相关行业协会、消费者等各方意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五、问：特殊医学用途配方食品的适用人群有哪些？</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在疾病状况下，无法进食普通膳食或无法用日常膳食满足目标人群的营养需求时，可使用特殊医学用途配方食品提供营养支持。其中，全营养配方食品适用于需对营养素进行全面补充且对特定营养素没有特别要求的人群。特定全营养配方食品适用于特定疾病或医学状况下需对营养素进行全面补充的人群，并可满足人群对部分营养素的特殊需求。非全营养配方食品则适用于需要补充单一或部分营养素的</w:t>
      </w:r>
      <w:r w:rsidR="00093779" w:rsidRPr="00652F4F">
        <w:rPr>
          <w:rFonts w:ascii="FangSong_GB2312" w:eastAsia="FangSong_GB2312" w:hAnsi="Simsun" w:cs="宋体" w:hint="eastAsia"/>
          <w:color w:val="000000"/>
          <w:kern w:val="0"/>
          <w:sz w:val="32"/>
          <w:szCs w:val="32"/>
        </w:rPr>
        <w:lastRenderedPageBreak/>
        <w:t>人群。</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六、问：生产企业如何执行本标准及相关法规？</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的适用人群处于进食受限、消化吸收障碍、代谢紊乱或特定疾病状态，因此标准对各项技术指标（营养素、污染物、微生物等）提出了严格要求。同时，为严格控制该类产品的生产过程和条件，配套制定发布了《特殊医学用途配方食品良好生产规范》（GB 29923-2013）。</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生产企业应按照有关法律法规和上述两项标准规定，进行医学和（或）营养学的研究，科学证实其产品的安全性及临床应用效果，满足生产条件要求，确保产品符合法律法规和标准要求。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七、问：医务人员如何理解和使用本标准？</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答：《特殊医学用途配方食品通则》（GB 29922-2013）中要求该类产品要求必须在医生和（或）临床营养师的指导下使用，医务人员应了解相应产品的营养特点、适用人群及应用要求，依据病人的不同医学状况，科学指导患者使用。在使用过程中应注重科学性和灵活性，根据个体实际情况，适当调整产品的适用范围和使用方法，以满足不同适用人群的个体化营养需求。同时建议开展有关的临床营养研究，收集临床使用资料，为将来标准和（或）指南的修订提供依据。</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八、问：国外特殊医学用途配方食品的管理情况怎样？</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答：许多发达国家早在上世纪80年代就广泛使用特殊医学用途配方食品，制定了管理措施和（或）相应标准，如国际食品法典委员会及欧盟、美国、澳新、日本等多个国家和地区。</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FangSong_GB2312" w:eastAsia="FangSong_GB2312" w:hAnsi="Simsun" w:cs="宋体" w:hint="eastAsia"/>
          <w:color w:val="000000"/>
          <w:kern w:val="0"/>
          <w:sz w:val="32"/>
          <w:szCs w:val="32"/>
        </w:rPr>
        <w:t>1、国际食品法典委员会（CAC）：Codex Stan 180-1991 The Labeling of and Claims for Food for Special Medical Purpose 主要对特殊医学用途配方食品的定义和标签标识进行了详细规定。</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2、欧盟：在特殊医学用途配方食品标准（1999/21/EC) 中规定了各种营养素含量，允许根据特定的疾病、紊乱或医疗状况对营养素做出适当调整。</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3、美国：美国食品药品监督管理局（FDA）1988年出台了特殊医学用途配方食品生产和监管的指导原则，包括生产、抽样、检验和判定等多项规定。</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4、澳大利亚和新西兰：2012年公布了特殊医学用途配方食品标准（Standard 2.9.5），并于2014年6月实施。该标准主要规定了特殊医学用途配方食品的定义、销售、营养素含量、标签标识四部分内容。</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5、日本：日本健康增进法（2002年法律第103号）第26条确定了特殊医学用途配方食品的法律地位。</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九、问：如何理解“特殊医学用途配方食品的配方应以医学和（或）营养学的研究结果为依据，其安全性及临床应用（效果）均需要经过科学证实。”这句话的含义？</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答：这是基于特殊医学用途配方食品的特点而提出的，要求生产企业应具备与产品配方和临床应用有关的安全性及科学性的依据，以确保该类产品可以起到为目标人群提供适宜的营养支持的作用。</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特殊医学用途配方食品的配方设计和临床应用有关的安全性和科学性参考文献包括（但不仅限于）如下一种或多种来源：</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FangSong_GB2312" w:eastAsia="FangSong_GB2312" w:hAnsi="Simsun" w:cs="宋体" w:hint="eastAsia"/>
          <w:color w:val="000000"/>
          <w:kern w:val="0"/>
          <w:sz w:val="32"/>
          <w:szCs w:val="32"/>
        </w:rPr>
        <w:t>1、国内相关法规和标准、国际组织和其他国家法规和标准；</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2、国内外临床应用研究证明材料，或国内外临床研究发表的权威论文；</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3、国内外权威医学、营养学机构发布的指南、专著、专家共识等，如（排名不分先后）：中华医学会及相关专业分会(如肠外肠内营养学分会等)，中国营养学会，中国医师协会营养医师专业委员会，联合国粮农组织/世界卫生组织（FAO/WHO），欧洲儿科胃肠肝脏病营养学会（ESPGHAN，European Society of Pediatric Gastroenterology Hepatology and Nutrition ），美国儿科学会（AAP，American Academy of Pediatrics)，欧洲肠外肠内营养学会(ESPEN，European Society for Parenteral and Enteral Nutrition)，北美儿科胃肠肝病营养学会(NASPGHAN，North American Society of Pediatric Gastroenterology Hepatology and Nutrition)，美国肠外肠内营养学会(ASPEN，American Society for Parenteral and Enteral Nutrition)，美国营养及膳食研究院(AND，Academy of Nutrition and Dietetics)。</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十、问：如何理解标准中的人群年龄段划分？</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本标准将适用人群年龄段划分为1-10岁和10岁以上。由于各年龄段中涉及年龄跨度大，各企业可以在符合标准要求的范围内结合临床实际需求研发适合不同年龄段的产品。如产品标识为适用于1-3岁、3-7岁、3-10岁等人群时，其技术指标应符合标准中1-10岁人群产品的要求；适用人群年龄段范围为10岁以上的，如产品标识为适用于10-18岁、10岁以上、18岁以上、50岁以上、65岁以上等，其技</w:t>
      </w:r>
      <w:r w:rsidR="00093779" w:rsidRPr="00652F4F">
        <w:rPr>
          <w:rFonts w:ascii="FangSong_GB2312" w:eastAsia="FangSong_GB2312" w:hAnsi="Simsun" w:cs="宋体" w:hint="eastAsia"/>
          <w:color w:val="000000"/>
          <w:kern w:val="0"/>
          <w:sz w:val="32"/>
          <w:szCs w:val="32"/>
        </w:rPr>
        <w:lastRenderedPageBreak/>
        <w:t>术指标应符合标准中10岁以上人群产品的要求。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十一、问：关于特殊医学用途配方食品的分类有哪些？</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借鉴国际食品法典委员会（CAC）和欧盟对特殊医学用途配方食品的分类方法，本标准将特殊医学用途配方食品分为全营养配方食品、特定全营养配方食品和非全营养配方食品三类，基本涵盖了目前临床上需求量大、研究证据充足的产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对于目前尚未涵盖的特殊医学用途配方食品，以及未来根据疾病或医学状态、最新权威科研结果研制的新产品，将根据临床需求、科学证实等资料，在专家充分论证的基础上不断完善，以满足适用人群的特殊营养需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十二、问：如何理解和使用全营养配方食品？</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全营养配方食品适用于有此类食品需求且对营养素没有特别限制的人群。符合全营养配方食品技术要求的产品单独食用时即可满足目标人群的营养需求。患者应在医生或临床营养师的指导下选择使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十三、问：如何理解和使用特定全营养配方食品？</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答：在特定疾病状况下，全营养配方食品无法适应疾病的特异性代谢变化，不能满足目标人群的特定营养需求，需要对其中的某些营养素进行调整。特定全营养配方食品适用于这类特定疾病人群。</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特定全营养配方食品是在相应年龄段全营养配方食品的基础上，依据特定疾病的病理生理变化而对部分营养素进行适当调整的一类食品，单独食用时即可满足目标人群的营养需求。符合特定全营养配方食品</w:t>
      </w:r>
      <w:r w:rsidR="00093779" w:rsidRPr="00652F4F">
        <w:rPr>
          <w:rFonts w:ascii="FangSong_GB2312" w:eastAsia="FangSong_GB2312" w:hAnsi="Simsun" w:cs="宋体" w:hint="eastAsia"/>
          <w:color w:val="000000"/>
          <w:kern w:val="0"/>
          <w:sz w:val="32"/>
          <w:szCs w:val="32"/>
        </w:rPr>
        <w:lastRenderedPageBreak/>
        <w:t>技术要求的产品，可有针对性的适应不同疾病的特异性代谢状态，更好地起到营养支持作用。</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特定全营养配方食品的适用人群一般指单纯患有某一特定疾病且无并发症或合并其他疾病的人群。对于伴随其他疾病或并发症的患者，均应由医生或临床营养师根据患者情况决定是否可以选用此类食品。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十四、问：常见特定全营养配方食品中可调整的营养素含量及依据是什么？</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本标准附录A列出了13种常见的特定全营养配方食品。目前科学证据充分、应用历史长的8种特定全营养配方食品，包括糖尿病病人用全营养配方食品、慢性阻塞性肺疾病（COPD）病人用全营养配方食品、肾病病人用全营养配方食品、恶性肿瘤（恶病质状态）病人用全营养配方食品、炎性肠病病人用全营养配方食品、食物蛋白过敏病人用全营养配方食品、难治性癫痫病人用全营养配方食品、肥胖和减脂手术病人用全营养配方食品，本问答明确了其在全营养配方食品基础上可调整的营养素含量技术指标。</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其他五种特定全营养配方食品，包括肝病病人用全营养配方食品、肌肉衰减综合症病人用全营养配方食品、创伤、感染、手术及其他应激状态病人用全营养配方食品、胃肠道吸收障碍、胰腺炎病人用全营养配方食品和脂肪酸代谢异常病人用全营养配方食品，由于目前营养素调整证据尚不充分，本问答暂不规定其营养素调整范围。今后将随着科学证据的不断积累，根据临床营养支持需要，在充分保证其安全性和科学性的前提下，通过修改问答的方式完善其技术指标。</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FangSong_GB2312" w:eastAsia="FangSong_GB2312" w:hAnsi="Simsun" w:cs="宋体" w:hint="eastAsia"/>
          <w:color w:val="000000"/>
          <w:kern w:val="0"/>
          <w:sz w:val="32"/>
          <w:szCs w:val="32"/>
        </w:rPr>
        <w:t>1、糖尿病病人用全营养配方食品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糖尿病患者由于遗传因素、内分泌功能紊乱等原因引发糖、蛋白质、脂肪、水和电解质等一系列代谢紊乱。针对上述情况，该类产品调整了宏量营养素的比例和钠的含量，强调产品的低血糖生成指数（低GI），为患者提供全面而均衡的营养支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糖尿病病人用全营养配方食品应满足如下技术要求：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1)应为低血糖生成指数（GI）配方，GI≤55。</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2)饱和脂肪酸的供能比应不超过10%。</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3)碳水化合物供能比应为30-60%，膳食纤维的含量应不低于0.3g/100kJ(1.4g/100kcal)。</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4)钠的含量应不低于7mg/100kJ(30mg/100kcal)，不高于42mg/100kJ(175 mg/100kcal)。</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Calibri" w:eastAsia="FangSong_GB2312" w:hAnsi="Calibri" w:cs="宋体"/>
          <w:color w:val="000000"/>
          <w:kern w:val="0"/>
          <w:sz w:val="28"/>
          <w:szCs w:val="28"/>
        </w:rPr>
        <w:t>参考依据：</w:t>
      </w:r>
      <w:r w:rsidR="00093779" w:rsidRPr="00652F4F">
        <w:rPr>
          <w:rFonts w:ascii="Calibri" w:eastAsia="FangSong_GB2312" w:hAnsi="Calibri" w:cs="宋体"/>
          <w:color w:val="000000"/>
          <w:kern w:val="0"/>
          <w:sz w:val="28"/>
          <w:szCs w:val="28"/>
        </w:rPr>
        <w:t> </w:t>
      </w:r>
      <w:r w:rsidR="00093779" w:rsidRPr="00652F4F">
        <w:rPr>
          <w:rFonts w:ascii="Calibri" w:eastAsia="FangSong_GB2312" w:hAnsi="Calibri" w:cs="宋体"/>
          <w:color w:val="000000"/>
          <w:kern w:val="0"/>
          <w:sz w:val="28"/>
          <w:szCs w:val="28"/>
        </w:rPr>
        <w:br/>
      </w:r>
      <w:r>
        <w:rPr>
          <w:rFonts w:ascii="FangSong_GB2312" w:eastAsia="FangSong_GB2312" w:hAnsi="Simsun" w:cs="宋体" w:hint="eastAsia"/>
          <w:color w:val="000000"/>
          <w:kern w:val="0"/>
          <w:sz w:val="32"/>
          <w:szCs w:val="32"/>
        </w:rPr>
        <w:t xml:space="preserve">  </w:t>
      </w:r>
      <w:r w:rsidR="00093779" w:rsidRPr="00652F4F">
        <w:rPr>
          <w:rFonts w:ascii="Calibri" w:eastAsia="FangSong_GB2312" w:hAnsi="Calibri" w:cs="宋体"/>
          <w:color w:val="000000"/>
          <w:kern w:val="0"/>
          <w:sz w:val="28"/>
          <w:szCs w:val="28"/>
        </w:rPr>
        <w:t xml:space="preserve">[1] </w:t>
      </w:r>
      <w:r w:rsidR="00093779" w:rsidRPr="00652F4F">
        <w:rPr>
          <w:rFonts w:ascii="Calibri" w:eastAsia="FangSong_GB2312" w:hAnsi="Calibri" w:cs="宋体"/>
          <w:color w:val="000000"/>
          <w:kern w:val="0"/>
          <w:sz w:val="28"/>
          <w:szCs w:val="28"/>
        </w:rPr>
        <w:t>中华人民共和国国家卫生和计划生育委员会</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成人糖尿病患者膳食指导</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中华人民共和国卫生行业标准</w:t>
      </w:r>
      <w:r w:rsidR="00093779" w:rsidRPr="00652F4F">
        <w:rPr>
          <w:rFonts w:ascii="Calibri" w:eastAsia="FangSong_GB2312" w:hAnsi="Calibri" w:cs="宋体"/>
          <w:color w:val="000000"/>
          <w:kern w:val="0"/>
          <w:sz w:val="28"/>
          <w:szCs w:val="28"/>
        </w:rPr>
        <w:t>,WS/T 429-2013.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[2] </w:t>
      </w:r>
      <w:r w:rsidR="00093779" w:rsidRPr="00652F4F">
        <w:rPr>
          <w:rFonts w:ascii="Calibri" w:eastAsia="FangSong_GB2312" w:hAnsi="Calibri" w:cs="宋体"/>
          <w:color w:val="000000"/>
          <w:kern w:val="0"/>
          <w:sz w:val="28"/>
          <w:szCs w:val="28"/>
        </w:rPr>
        <w:t>中华医学会糖尿病学分会</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中国医师协会营养医师专业委员会</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中国糖尿病医学营养治疗指南</w:t>
      </w:r>
      <w:r w:rsidR="00093779" w:rsidRPr="00652F4F">
        <w:rPr>
          <w:rFonts w:ascii="Calibri" w:eastAsia="FangSong_GB2312" w:hAnsi="Calibri" w:cs="宋体"/>
          <w:color w:val="000000"/>
          <w:kern w:val="0"/>
          <w:sz w:val="28"/>
          <w:szCs w:val="28"/>
        </w:rPr>
        <w:t>,2010:10-15.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[3] Evert AB, Boucher JL, Cypress M, et al. Nutrition Therapy Recommendations for the Management of Adults with Diabetes. Diabetes Care, 2013,36: 3827.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[4] European Commission. Commission Directive 1999/21/EC of 25 March 1999 on Dietary Foods for Special Medical Purposes. Official Journal of the European Communities, 1999, 91:29-36.</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FangSong_GB2312" w:eastAsia="FangSong_GB2312" w:hAnsi="Simsun" w:cs="宋体" w:hint="eastAsia"/>
          <w:color w:val="000000"/>
          <w:kern w:val="0"/>
          <w:sz w:val="32"/>
          <w:szCs w:val="32"/>
        </w:rPr>
        <w:t>2、COPD病人用全营养配方食品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慢性阻塞性肺疾病（COPD）是呼吸系统疾病中的一种。为了减少肺部二氧化碳潴留，COPD患者需要适当的营养支持，并需要适量添加中链甘油三酯（MCT）以减轻胃肠负担，同时可在配方中选择性添加n-3脂肪酸。</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COPD病人用全营养配方食品应满足如下技术要求：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1)脂肪供能比应为30%-55%；当脂肪供能比&gt;40%时，中链甘油三酯（MCT）提供的能量应为总能量的10%-20%。</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2)如果添加n-3脂肪酸（以EPA和DHA计），在配方中的供能比应为1%-6%，同时对亚油酸和α-亚麻酸的供能比不再做相应要求。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Calibri" w:eastAsia="FangSong_GB2312" w:hAnsi="Calibri" w:cs="宋体"/>
          <w:color w:val="000000"/>
          <w:kern w:val="0"/>
          <w:sz w:val="28"/>
          <w:szCs w:val="28"/>
        </w:rPr>
        <w:t>参考文献：</w:t>
      </w:r>
      <w:r w:rsidR="00093779" w:rsidRPr="00652F4F">
        <w:rPr>
          <w:rFonts w:ascii="Calibri" w:eastAsia="FangSong_GB2312" w:hAnsi="Calibri" w:cs="宋体"/>
          <w:color w:val="000000"/>
          <w:kern w:val="0"/>
          <w:sz w:val="28"/>
          <w:szCs w:val="28"/>
        </w:rPr>
        <w:t>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 ASPEN. Board of Directors and The Clinical Guidelines Task Force. Guidelines for the Use of Parenteral and Enteral Nutrition in Adult and Pediatric Patients.  Journal of Parenteral and Enteral Nutrition, 2002,26(1):64SA.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[2]Ferreira I, Brooks D, Lacasse Y,et al. Nutritional Intervention in COPD: a Systematic Overview. Chest,2001, 119(2):353-63.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[3]</w:t>
      </w:r>
      <w:r w:rsidR="00093779" w:rsidRPr="00652F4F">
        <w:rPr>
          <w:rFonts w:ascii="Calibri" w:eastAsia="FangSong_GB2312" w:hAnsi="Calibri" w:cs="宋体"/>
          <w:color w:val="000000"/>
          <w:kern w:val="0"/>
          <w:sz w:val="28"/>
          <w:szCs w:val="28"/>
        </w:rPr>
        <w:t>中华医学会呼吸病学分会慢性阻塞性肺疾病学组</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慢性阻塞性肺疾病诊治指南（</w:t>
      </w:r>
      <w:r w:rsidR="00093779" w:rsidRPr="00652F4F">
        <w:rPr>
          <w:rFonts w:ascii="Calibri" w:eastAsia="FangSong_GB2312" w:hAnsi="Calibri" w:cs="宋体"/>
          <w:color w:val="000000"/>
          <w:kern w:val="0"/>
          <w:sz w:val="28"/>
          <w:szCs w:val="28"/>
        </w:rPr>
        <w:t>2013</w:t>
      </w:r>
      <w:r w:rsidR="00093779" w:rsidRPr="00652F4F">
        <w:rPr>
          <w:rFonts w:ascii="Calibri" w:eastAsia="FangSong_GB2312" w:hAnsi="Calibri" w:cs="宋体"/>
          <w:color w:val="000000"/>
          <w:kern w:val="0"/>
          <w:sz w:val="28"/>
          <w:szCs w:val="28"/>
        </w:rPr>
        <w:t>年修订版）</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中华结核和呼吸杂志</w:t>
      </w:r>
      <w:r w:rsidR="00093779" w:rsidRPr="00652F4F">
        <w:rPr>
          <w:rFonts w:ascii="Calibri" w:eastAsia="FangSong_GB2312" w:hAnsi="Calibri" w:cs="宋体"/>
          <w:color w:val="000000"/>
          <w:kern w:val="0"/>
          <w:sz w:val="28"/>
          <w:szCs w:val="28"/>
        </w:rPr>
        <w:t>,2013, 36(4):1-10.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[4] </w:t>
      </w:r>
      <w:r w:rsidR="00093779" w:rsidRPr="00652F4F">
        <w:rPr>
          <w:rFonts w:ascii="Calibri" w:eastAsia="FangSong_GB2312" w:hAnsi="Calibri" w:cs="宋体"/>
          <w:color w:val="000000"/>
          <w:kern w:val="0"/>
          <w:sz w:val="28"/>
          <w:szCs w:val="28"/>
        </w:rPr>
        <w:t>让蔚清</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临床营养学</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北京</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人民卫生出版社</w:t>
      </w:r>
      <w:r w:rsidR="00093779" w:rsidRPr="00652F4F">
        <w:rPr>
          <w:rFonts w:ascii="Calibri" w:eastAsia="FangSong_GB2312" w:hAnsi="Calibri" w:cs="宋体"/>
          <w:color w:val="000000"/>
          <w:kern w:val="0"/>
          <w:sz w:val="28"/>
          <w:szCs w:val="28"/>
        </w:rPr>
        <w:t>,2013,256.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[5] </w:t>
      </w:r>
      <w:r w:rsidR="00093779" w:rsidRPr="00652F4F">
        <w:rPr>
          <w:rFonts w:ascii="Calibri" w:eastAsia="FangSong_GB2312" w:hAnsi="Calibri" w:cs="宋体"/>
          <w:color w:val="000000"/>
          <w:kern w:val="0"/>
          <w:sz w:val="28"/>
          <w:szCs w:val="28"/>
        </w:rPr>
        <w:t>张爱红</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临床营养学</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上海</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同济大学出版社</w:t>
      </w:r>
      <w:r w:rsidR="00093779" w:rsidRPr="00652F4F">
        <w:rPr>
          <w:rFonts w:ascii="Calibri" w:eastAsia="FangSong_GB2312" w:hAnsi="Calibri" w:cs="宋体"/>
          <w:color w:val="000000"/>
          <w:kern w:val="0"/>
          <w:sz w:val="28"/>
          <w:szCs w:val="28"/>
        </w:rPr>
        <w:t>,2013,135.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[6] </w:t>
      </w:r>
      <w:r w:rsidR="00093779" w:rsidRPr="00652F4F">
        <w:rPr>
          <w:rFonts w:ascii="Calibri" w:eastAsia="FangSong_GB2312" w:hAnsi="Calibri" w:cs="宋体"/>
          <w:color w:val="000000"/>
          <w:kern w:val="0"/>
          <w:sz w:val="28"/>
          <w:szCs w:val="28"/>
        </w:rPr>
        <w:t>李宁，于健春，蔡威</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临床肠内肠外营养支持治疗学</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北京：中华医学电子音像出版社，</w:t>
      </w:r>
      <w:r w:rsidR="00093779" w:rsidRPr="00652F4F">
        <w:rPr>
          <w:rFonts w:ascii="Calibri" w:eastAsia="FangSong_GB2312" w:hAnsi="Calibri" w:cs="宋体"/>
          <w:color w:val="000000"/>
          <w:kern w:val="0"/>
          <w:sz w:val="28"/>
          <w:szCs w:val="28"/>
        </w:rPr>
        <w:t>2012:491.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lastRenderedPageBreak/>
        <w:t xml:space="preserve">  </w:t>
      </w:r>
      <w:r w:rsidR="00093779" w:rsidRPr="00652F4F">
        <w:rPr>
          <w:rFonts w:ascii="Calibri" w:eastAsia="FangSong_GB2312" w:hAnsi="Calibri" w:cs="宋体"/>
          <w:color w:val="000000"/>
          <w:kern w:val="0"/>
          <w:sz w:val="28"/>
          <w:szCs w:val="28"/>
        </w:rPr>
        <w:t>[7] Cai B, Zhu Y, Ma Yi, et al. Effect of Supplementing a High-fat, Low-Carbohydrate Enteral Formula in COPD Patients. Nutrition. 2003 Mar;19(3):229-32.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[8] </w:t>
      </w:r>
      <w:r w:rsidR="00093779" w:rsidRPr="00652F4F">
        <w:rPr>
          <w:rFonts w:ascii="Calibri" w:eastAsia="FangSong_GB2312" w:hAnsi="Calibri" w:cs="宋体"/>
          <w:color w:val="000000"/>
          <w:kern w:val="0"/>
          <w:sz w:val="28"/>
          <w:szCs w:val="28"/>
        </w:rPr>
        <w:t>顾景范</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杜寿玢</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郭长江</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现代临床营养学</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北京</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科学出报社</w:t>
      </w:r>
      <w:r w:rsidR="00093779" w:rsidRPr="00652F4F">
        <w:rPr>
          <w:rFonts w:ascii="Calibri" w:eastAsia="FangSong_GB2312" w:hAnsi="Calibri" w:cs="宋体"/>
          <w:color w:val="000000"/>
          <w:kern w:val="0"/>
          <w:sz w:val="28"/>
          <w:szCs w:val="28"/>
        </w:rPr>
        <w:t>,2009:633-635.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[9] </w:t>
      </w:r>
      <w:r w:rsidR="00093779" w:rsidRPr="00652F4F">
        <w:rPr>
          <w:rFonts w:ascii="Calibri" w:eastAsia="FangSong_GB2312" w:hAnsi="Calibri" w:cs="宋体"/>
          <w:color w:val="000000"/>
          <w:kern w:val="0"/>
          <w:sz w:val="28"/>
          <w:szCs w:val="28"/>
        </w:rPr>
        <w:t>中华医学会重症医学分会</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中国重症加强治疗病房危重患者营养支持指导意见</w:t>
      </w:r>
      <w:r w:rsidR="00093779" w:rsidRPr="00652F4F">
        <w:rPr>
          <w:rFonts w:ascii="Calibri" w:eastAsia="FangSong_GB2312" w:hAnsi="Calibri" w:cs="宋体"/>
          <w:color w:val="000000"/>
          <w:kern w:val="0"/>
          <w:sz w:val="28"/>
          <w:szCs w:val="28"/>
        </w:rPr>
        <w:t xml:space="preserve">(2006). </w:t>
      </w:r>
      <w:r w:rsidR="00093779" w:rsidRPr="00652F4F">
        <w:rPr>
          <w:rFonts w:ascii="Calibri" w:eastAsia="FangSong_GB2312" w:hAnsi="Calibri" w:cs="宋体"/>
          <w:color w:val="000000"/>
          <w:kern w:val="0"/>
          <w:sz w:val="28"/>
          <w:szCs w:val="28"/>
        </w:rPr>
        <w:t>中华外科杂志</w:t>
      </w:r>
      <w:r w:rsidR="00093779" w:rsidRPr="00652F4F">
        <w:rPr>
          <w:rFonts w:ascii="Calibri" w:eastAsia="FangSong_GB2312" w:hAnsi="Calibri" w:cs="宋体"/>
          <w:color w:val="000000"/>
          <w:kern w:val="0"/>
          <w:sz w:val="28"/>
          <w:szCs w:val="28"/>
        </w:rPr>
        <w:t>, 2006,44(17):1167-1177.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[10] Simopoulos AP.  Essential Fatty Acids in Health and Chronic Disease.  Am J Clin Nutr,1999,70(3 Suppl): 560S-569S.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[11] Kompauer I, Demmelmair H, Koletzko B, et al. Association of Fatty Acids in Serum Phospholipids with Lung Function and Bronchial Hyperresponsiveness in Adults. Eur J Epidemiol, 2008;23(3):175-90.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[12] Shahar E, Folsom AR, Melnick SL, et al. Dietary n-3 Polyunsaturated Fatty Acids and Smoking-Related Chronic Obstructive Pulmonary Disease. N Engl J Med,1994,331(4):228-233.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[13] Van der Meij BS, van Bokhorst-de van der Schueren MA,Langius JA,et al. n-3 PUFAs in Cancer, Surgery, and Critical Care: A Systematic Review on Clinical Effects, Incorporation, and Washout of Oral or Enteral Compared with Parenteral Supplementation. Am J Clin Nutr,2011,94(5):1248-65.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[14] World Health Organization. The Global Burden of Disease: 2004 Update. Geneva, Switzerland: WHO, 2008.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[15] World Health Organization. Chronic Obstructive Pulmonary Disease, Fact Sheet No. 215. Geneva, Switzerland:WHO, 2011. </w:t>
      </w:r>
      <w:r w:rsidR="00093779" w:rsidRPr="00652F4F">
        <w:rPr>
          <w:rFonts w:ascii="Calibri" w:eastAsia="FangSong_GB2312" w:hAnsi="Calibri" w:cs="宋体"/>
          <w:color w:val="000000"/>
          <w:kern w:val="0"/>
          <w:sz w:val="28"/>
          <w:szCs w:val="28"/>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3、肾病病人用全营养配方食品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FangSong_GB2312" w:eastAsia="FangSong_GB2312" w:hAnsi="Simsun" w:cs="宋体" w:hint="eastAsia"/>
          <w:color w:val="000000"/>
          <w:kern w:val="0"/>
          <w:sz w:val="32"/>
          <w:szCs w:val="32"/>
        </w:rPr>
        <w:t>肾病病人用全营养配方食品适用于成人慢性肾脏病（CKD）患者，配方根据透析或非透析慢性肾脏病患者对营养素的不同需求，通过调整蛋白质及电解质的水平，以满足其营养需要。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1）对于非透析慢性肾脏病患者，产品配方具体技术要求如下：配方中蛋白质含量应不高于0.65g/100kJ(2.7g/100kcal)，其他营养素应调整的范围如表1。</w:t>
      </w:r>
      <w:r w:rsidR="00093779" w:rsidRPr="00652F4F">
        <w:rPr>
          <w:rFonts w:ascii="FangSong_GB2312" w:eastAsia="FangSong_GB2312" w:hAnsi="Simsun" w:cs="宋体" w:hint="eastAsia"/>
          <w:color w:val="000000"/>
          <w:kern w:val="0"/>
          <w:sz w:val="32"/>
          <w:szCs w:val="32"/>
        </w:rPr>
        <w:t> </w:t>
      </w:r>
    </w:p>
    <w:p w:rsidR="00093779" w:rsidRPr="00652F4F" w:rsidRDefault="00093779" w:rsidP="00093779">
      <w:pPr>
        <w:widowControl/>
        <w:shd w:val="clear" w:color="auto" w:fill="FFFFFF"/>
        <w:spacing w:line="440" w:lineRule="atLeast"/>
        <w:jc w:val="center"/>
        <w:rPr>
          <w:rFonts w:ascii="黑体" w:eastAsia="黑体" w:hAnsi="黑体" w:cs="宋体"/>
          <w:color w:val="000000"/>
          <w:kern w:val="0"/>
          <w:szCs w:val="21"/>
        </w:rPr>
      </w:pPr>
      <w:r w:rsidRPr="00652F4F">
        <w:rPr>
          <w:rFonts w:ascii="FangSong_GB2312" w:eastAsia="FangSong_GB2312" w:hAnsi="黑体" w:cs="宋体" w:hint="eastAsia"/>
          <w:color w:val="000000"/>
          <w:kern w:val="0"/>
          <w:sz w:val="32"/>
          <w:szCs w:val="32"/>
        </w:rPr>
        <w:t>表1.非透析慢性肾脏病病人用全营养配方食品营养素调整的范围</w:t>
      </w:r>
    </w:p>
    <w:tbl>
      <w:tblPr>
        <w:tblW w:w="5000" w:type="pct"/>
        <w:jc w:val="center"/>
        <w:tblCellMar>
          <w:left w:w="0" w:type="dxa"/>
          <w:right w:w="0" w:type="dxa"/>
        </w:tblCellMar>
        <w:tblLook w:val="04A0" w:firstRow="1" w:lastRow="0" w:firstColumn="1" w:lastColumn="0" w:noHBand="0" w:noVBand="1"/>
      </w:tblPr>
      <w:tblGrid>
        <w:gridCol w:w="1609"/>
        <w:gridCol w:w="1107"/>
        <w:gridCol w:w="1610"/>
        <w:gridCol w:w="2012"/>
        <w:gridCol w:w="1913"/>
        <w:gridCol w:w="1711"/>
      </w:tblGrid>
      <w:tr w:rsidR="00093779" w:rsidRPr="00652F4F" w:rsidTr="00093779">
        <w:trPr>
          <w:cantSplit/>
          <w:trHeight w:val="404"/>
          <w:jc w:val="center"/>
        </w:trPr>
        <w:tc>
          <w:tcPr>
            <w:tcW w:w="8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营养素</w:t>
            </w:r>
          </w:p>
        </w:tc>
        <w:tc>
          <w:tcPr>
            <w:tcW w:w="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单位</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每100 kJ</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每100 kcal</w:t>
            </w:r>
          </w:p>
        </w:tc>
      </w:tr>
      <w:tr w:rsidR="00093779" w:rsidRPr="00652F4F" w:rsidTr="00093779">
        <w:trPr>
          <w:trHeight w:val="40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3779" w:rsidRPr="00652F4F" w:rsidRDefault="00093779" w:rsidP="00093779">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093779" w:rsidRPr="00652F4F" w:rsidRDefault="00093779" w:rsidP="00093779">
            <w:pPr>
              <w:widowControl/>
              <w:jc w:val="left"/>
              <w:rPr>
                <w:rFonts w:ascii="Calibri" w:eastAsia="宋体" w:hAnsi="Calibri" w:cs="宋体"/>
                <w:kern w:val="0"/>
                <w:szCs w:val="21"/>
              </w:rPr>
            </w:pP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最小值</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最大值</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最小值</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最大值</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钾</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 </w:t>
            </w:r>
            <w:r w:rsidRPr="00652F4F">
              <w:rPr>
                <w:rFonts w:ascii="FangSong_GB2312" w:eastAsia="FangSong_GB2312" w:hAnsi="Calibri" w:cs="宋体" w:hint="eastAsia"/>
                <w:kern w:val="0"/>
                <w:sz w:val="32"/>
                <w:szCs w:val="32"/>
              </w:rPr>
              <w:t>32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133</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钠</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 </w:t>
            </w:r>
            <w:r w:rsidRPr="00652F4F">
              <w:rPr>
                <w:rFonts w:ascii="FangSong_GB2312" w:eastAsia="FangSong_GB2312" w:hAnsi="Calibri" w:cs="宋体" w:hint="eastAsia"/>
                <w:kern w:val="0"/>
                <w:sz w:val="32"/>
                <w:szCs w:val="32"/>
              </w:rPr>
              <w:t>40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168</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磷</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3.3</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 </w:t>
            </w:r>
            <w:r w:rsidRPr="00652F4F">
              <w:rPr>
                <w:rFonts w:ascii="FangSong_GB2312" w:eastAsia="FangSong_GB2312" w:hAnsi="Calibri" w:cs="宋体" w:hint="eastAsia"/>
                <w:kern w:val="0"/>
                <w:sz w:val="32"/>
                <w:szCs w:val="32"/>
              </w:rPr>
              <w:t>16.0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14.0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67.0</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镁</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4.0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25.0</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钙</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30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30</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127</w:t>
            </w:r>
          </w:p>
        </w:tc>
      </w:tr>
      <w:tr w:rsidR="00093779" w:rsidRPr="00652F4F" w:rsidTr="00093779">
        <w:trPr>
          <w:trHeight w:val="404"/>
          <w:jc w:val="center"/>
        </w:trPr>
        <w:tc>
          <w:tcPr>
            <w:tcW w:w="8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维生素A</w:t>
            </w:r>
          </w:p>
        </w:tc>
        <w:tc>
          <w:tcPr>
            <w:tcW w:w="5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μg RE</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53.8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00" w:lineRule="atLeast"/>
              <w:ind w:left="22" w:right="-107" w:hanging="64"/>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225.0</w:t>
            </w:r>
          </w:p>
        </w:tc>
      </w:tr>
    </w:tbl>
    <w:p w:rsidR="00093779" w:rsidRPr="00652F4F" w:rsidRDefault="00093779" w:rsidP="00093779">
      <w:pPr>
        <w:widowControl/>
        <w:shd w:val="clear" w:color="auto" w:fill="FFFFFF"/>
        <w:jc w:val="left"/>
        <w:rPr>
          <w:rFonts w:ascii="Simsun" w:eastAsia="宋体" w:hAnsi="Simsun" w:cs="宋体" w:hint="eastAsia"/>
          <w:color w:val="000000"/>
          <w:kern w:val="0"/>
          <w:szCs w:val="21"/>
        </w:rPr>
      </w:pPr>
      <w:r w:rsidRPr="00652F4F">
        <w:rPr>
          <w:rFonts w:ascii="Simsun" w:eastAsia="宋体" w:hAnsi="Simsun" w:cs="宋体"/>
          <w:color w:val="000000"/>
          <w:kern w:val="0"/>
          <w:szCs w:val="21"/>
        </w:rPr>
        <w:br/>
      </w:r>
      <w:r w:rsidR="00302426">
        <w:rPr>
          <w:rFonts w:ascii="Simsun" w:eastAsia="宋体" w:hAnsi="Simsun" w:cs="宋体"/>
          <w:color w:val="000000"/>
          <w:kern w:val="0"/>
          <w:szCs w:val="21"/>
        </w:rPr>
        <w:t xml:space="preserve">    </w:t>
      </w:r>
      <w:r w:rsidRPr="00652F4F">
        <w:rPr>
          <w:rFonts w:ascii="FangSong_GB2312" w:eastAsia="FangSong_GB2312" w:hAnsi="Simsun" w:cs="宋体" w:hint="eastAsia"/>
          <w:color w:val="000000"/>
          <w:kern w:val="0"/>
          <w:sz w:val="32"/>
          <w:szCs w:val="32"/>
        </w:rPr>
        <w:t>2）对于透析治疗的患者，产品配方具体技术要求如下：</w:t>
      </w:r>
      <w:r w:rsidRPr="00652F4F">
        <w:rPr>
          <w:rFonts w:ascii="FangSong_GB2312" w:eastAsia="FangSong_GB2312" w:hAnsi="Simsun" w:cs="宋体" w:hint="eastAsia"/>
          <w:color w:val="000000"/>
          <w:kern w:val="0"/>
          <w:sz w:val="32"/>
          <w:szCs w:val="32"/>
        </w:rPr>
        <w:t> </w:t>
      </w:r>
      <w:r w:rsidRPr="00652F4F">
        <w:rPr>
          <w:rFonts w:ascii="FangSong_GB2312" w:eastAsia="FangSong_GB2312" w:hAnsi="Simsun" w:cs="宋体" w:hint="eastAsia"/>
          <w:color w:val="000000"/>
          <w:kern w:val="0"/>
          <w:sz w:val="32"/>
          <w:szCs w:val="32"/>
        </w:rPr>
        <w:br/>
      </w:r>
      <w:r w:rsidR="00302426">
        <w:rPr>
          <w:rFonts w:ascii="FangSong_GB2312" w:eastAsia="FangSong_GB2312" w:hAnsi="Simsun" w:cs="宋体" w:hint="eastAsia"/>
          <w:color w:val="000000"/>
          <w:kern w:val="0"/>
          <w:sz w:val="32"/>
          <w:szCs w:val="32"/>
        </w:rPr>
        <w:t xml:space="preserve">  </w:t>
      </w:r>
      <w:r w:rsidRPr="00652F4F">
        <w:rPr>
          <w:rFonts w:ascii="FangSong_GB2312" w:eastAsia="FangSong_GB2312" w:hAnsi="Simsun" w:cs="宋体" w:hint="eastAsia"/>
          <w:color w:val="000000"/>
          <w:kern w:val="0"/>
          <w:sz w:val="32"/>
          <w:szCs w:val="32"/>
        </w:rPr>
        <w:t>配方中蛋白质含量应不低于0.8g/100kJ(3.3g/100kcal)，其他营养素应调整的范围如表2。</w:t>
      </w:r>
    </w:p>
    <w:p w:rsidR="00093779" w:rsidRPr="00652F4F" w:rsidRDefault="00093779" w:rsidP="00093779">
      <w:pPr>
        <w:widowControl/>
        <w:shd w:val="clear" w:color="auto" w:fill="FFFFFF"/>
        <w:jc w:val="center"/>
        <w:rPr>
          <w:rFonts w:ascii="Simsun" w:eastAsia="宋体" w:hAnsi="Simsun" w:cs="宋体" w:hint="eastAsia"/>
          <w:color w:val="000000"/>
          <w:kern w:val="0"/>
          <w:szCs w:val="21"/>
        </w:rPr>
      </w:pPr>
      <w:r w:rsidRPr="00652F4F">
        <w:rPr>
          <w:rFonts w:ascii="FangSong_GB2312" w:eastAsia="FangSong_GB2312" w:hAnsi="Simsun" w:cs="宋体" w:hint="eastAsia"/>
          <w:color w:val="000000"/>
          <w:kern w:val="0"/>
          <w:sz w:val="32"/>
          <w:szCs w:val="32"/>
        </w:rPr>
        <w:t>表2.透析慢性肾脏病病人用全营养配方食品营养素调整的范围</w:t>
      </w:r>
    </w:p>
    <w:tbl>
      <w:tblPr>
        <w:tblW w:w="4900" w:type="pct"/>
        <w:jc w:val="center"/>
        <w:tblCellMar>
          <w:left w:w="0" w:type="dxa"/>
          <w:right w:w="0" w:type="dxa"/>
        </w:tblCellMar>
        <w:tblLook w:val="04A0" w:firstRow="1" w:lastRow="0" w:firstColumn="1" w:lastColumn="0" w:noHBand="0" w:noVBand="1"/>
      </w:tblPr>
      <w:tblGrid>
        <w:gridCol w:w="1296"/>
        <w:gridCol w:w="1296"/>
        <w:gridCol w:w="1694"/>
        <w:gridCol w:w="1892"/>
        <w:gridCol w:w="1892"/>
        <w:gridCol w:w="1693"/>
      </w:tblGrid>
      <w:tr w:rsidR="00093779" w:rsidRPr="00652F4F" w:rsidTr="00093779">
        <w:trPr>
          <w:trHeight w:val="456"/>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营养素</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单位</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jc w:val="center"/>
              <w:rPr>
                <w:rFonts w:ascii="黑体" w:eastAsia="黑体" w:hAnsi="黑体" w:cs="宋体"/>
                <w:kern w:val="0"/>
                <w:szCs w:val="21"/>
              </w:rPr>
            </w:pPr>
            <w:r w:rsidRPr="00652F4F">
              <w:rPr>
                <w:rFonts w:ascii="FangSong_GB2312" w:eastAsia="FangSong_GB2312" w:hAnsi="黑体" w:cs="宋体" w:hint="eastAsia"/>
                <w:kern w:val="0"/>
                <w:sz w:val="32"/>
                <w:szCs w:val="32"/>
              </w:rPr>
              <w:t>每100 kJ</w:t>
            </w:r>
          </w:p>
        </w:tc>
        <w:tc>
          <w:tcPr>
            <w:tcW w:w="18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jc w:val="center"/>
              <w:rPr>
                <w:rFonts w:ascii="黑体" w:eastAsia="黑体" w:hAnsi="黑体" w:cs="宋体"/>
                <w:kern w:val="0"/>
                <w:szCs w:val="21"/>
              </w:rPr>
            </w:pPr>
            <w:r w:rsidRPr="00652F4F">
              <w:rPr>
                <w:rFonts w:ascii="FangSong_GB2312" w:eastAsia="FangSong_GB2312" w:hAnsi="黑体" w:cs="宋体" w:hint="eastAsia"/>
                <w:kern w:val="0"/>
                <w:sz w:val="32"/>
                <w:szCs w:val="32"/>
              </w:rPr>
              <w:t>每100 kcal</w:t>
            </w:r>
          </w:p>
        </w:tc>
      </w:tr>
      <w:tr w:rsidR="00093779" w:rsidRPr="00652F4F" w:rsidTr="00093779">
        <w:trPr>
          <w:trHeight w:val="45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3779" w:rsidRPr="00652F4F" w:rsidRDefault="00093779" w:rsidP="00093779">
            <w:pPr>
              <w:widowControl/>
              <w:jc w:val="left"/>
              <w:rPr>
                <w:rFonts w:ascii="黑体" w:eastAsia="黑体" w:hAnsi="黑体"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093779" w:rsidRPr="00652F4F" w:rsidRDefault="00093779" w:rsidP="00093779">
            <w:pPr>
              <w:widowControl/>
              <w:jc w:val="left"/>
              <w:rPr>
                <w:rFonts w:ascii="黑体" w:eastAsia="黑体" w:hAnsi="黑体" w:cs="宋体"/>
                <w:kern w:val="0"/>
                <w:szCs w:val="21"/>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最小值</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最大值</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最小值</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最大值</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lastRenderedPageBreak/>
              <w:t>钾</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mg</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宋体" w:eastAsia="宋体" w:hAnsi="宋体" w:cs="宋体" w:hint="eastAsia"/>
                <w:kern w:val="0"/>
                <w:sz w:val="32"/>
                <w:szCs w:val="32"/>
              </w:rPr>
              <w:t> </w:t>
            </w:r>
            <w:r w:rsidRPr="00652F4F">
              <w:rPr>
                <w:rFonts w:ascii="FangSong_GB2312" w:eastAsia="FangSong_GB2312" w:hAnsi="黑体" w:cs="宋体" w:hint="eastAsia"/>
                <w:kern w:val="0"/>
                <w:sz w:val="32"/>
                <w:szCs w:val="32"/>
              </w:rPr>
              <w:t>10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64</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41</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267</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钠</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mg</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宋体" w:eastAsia="宋体" w:hAnsi="宋体" w:cs="宋体" w:hint="eastAsia"/>
                <w:kern w:val="0"/>
                <w:sz w:val="32"/>
                <w:szCs w:val="32"/>
              </w:rPr>
              <w:t> </w:t>
            </w:r>
            <w:r w:rsidRPr="00652F4F">
              <w:rPr>
                <w:rFonts w:ascii="FangSong_GB2312" w:eastAsia="FangSong_GB2312" w:hAnsi="黑体" w:cs="宋体" w:hint="eastAsia"/>
                <w:kern w:val="0"/>
                <w:sz w:val="32"/>
                <w:szCs w:val="32"/>
              </w:rPr>
              <w:t>7</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40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30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168</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磷</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mg</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宋体" w:eastAsia="宋体" w:hAnsi="宋体" w:cs="宋体" w:hint="eastAsia"/>
                <w:kern w:val="0"/>
                <w:sz w:val="32"/>
                <w:szCs w:val="32"/>
              </w:rPr>
              <w:t> </w:t>
            </w:r>
            <w:r w:rsidRPr="00652F4F">
              <w:rPr>
                <w:rFonts w:ascii="FangSong_GB2312" w:eastAsia="FangSong_GB2312" w:hAnsi="黑体" w:cs="宋体" w:hint="eastAsia"/>
                <w:kern w:val="0"/>
                <w:sz w:val="32"/>
                <w:szCs w:val="32"/>
              </w:rPr>
              <w:t>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宋体" w:eastAsia="宋体" w:hAnsi="宋体" w:cs="宋体" w:hint="eastAsia"/>
                <w:kern w:val="0"/>
                <w:sz w:val="32"/>
                <w:szCs w:val="32"/>
              </w:rPr>
              <w:t> </w:t>
            </w:r>
            <w:r w:rsidRPr="00652F4F">
              <w:rPr>
                <w:rFonts w:ascii="FangSong_GB2312" w:eastAsia="FangSong_GB2312" w:hAnsi="黑体" w:cs="宋体" w:hint="eastAsia"/>
                <w:kern w:val="0"/>
                <w:sz w:val="32"/>
                <w:szCs w:val="32"/>
              </w:rPr>
              <w:t>16.0</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26.0</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68.0</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镁</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mg</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1.8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N.S.</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7.5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N.S.</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钙</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mg</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宋体" w:eastAsia="宋体" w:hAnsi="宋体" w:cs="宋体" w:hint="eastAsia"/>
                <w:kern w:val="0"/>
                <w:sz w:val="32"/>
                <w:szCs w:val="32"/>
              </w:rPr>
              <w:t> </w:t>
            </w:r>
            <w:r w:rsidRPr="00652F4F">
              <w:rPr>
                <w:rFonts w:ascii="FangSong_GB2312" w:eastAsia="FangSong_GB2312" w:hAnsi="黑体" w:cs="宋体" w:hint="eastAsia"/>
                <w:kern w:val="0"/>
                <w:sz w:val="32"/>
                <w:szCs w:val="32"/>
              </w:rPr>
              <w:t>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32</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35</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133</w:t>
            </w:r>
          </w:p>
        </w:tc>
      </w:tr>
      <w:tr w:rsidR="00093779" w:rsidRPr="00652F4F" w:rsidTr="00093779">
        <w:trPr>
          <w:trHeight w:val="456"/>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维生素A</w:t>
            </w:r>
          </w:p>
        </w:tc>
        <w:tc>
          <w:tcPr>
            <w:tcW w:w="6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仿宋" w:eastAsia="仿宋" w:hAnsi="仿宋" w:cs="宋体" w:hint="eastAsia"/>
                <w:kern w:val="0"/>
                <w:sz w:val="32"/>
                <w:szCs w:val="32"/>
              </w:rPr>
              <w:t>μ</w:t>
            </w:r>
            <w:r w:rsidRPr="00652F4F">
              <w:rPr>
                <w:rFonts w:ascii="FangSong_GB2312" w:eastAsia="FangSong_GB2312" w:hAnsi="黑体" w:cs="宋体" w:hint="eastAsia"/>
                <w:kern w:val="0"/>
                <w:sz w:val="32"/>
                <w:szCs w:val="32"/>
              </w:rPr>
              <w:t>g RE</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N.S.</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53.8</w:t>
            </w:r>
          </w:p>
        </w:tc>
        <w:tc>
          <w:tcPr>
            <w:tcW w:w="9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N.S.</w:t>
            </w:r>
          </w:p>
        </w:tc>
        <w:tc>
          <w:tcPr>
            <w:tcW w:w="8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440" w:lineRule="atLeast"/>
              <w:rPr>
                <w:rFonts w:ascii="黑体" w:eastAsia="黑体" w:hAnsi="黑体" w:cs="宋体"/>
                <w:kern w:val="0"/>
                <w:szCs w:val="21"/>
              </w:rPr>
            </w:pPr>
            <w:r w:rsidRPr="00652F4F">
              <w:rPr>
                <w:rFonts w:ascii="FangSong_GB2312" w:eastAsia="FangSong_GB2312" w:hAnsi="黑体" w:cs="宋体" w:hint="eastAsia"/>
                <w:kern w:val="0"/>
                <w:sz w:val="32"/>
                <w:szCs w:val="32"/>
              </w:rPr>
              <w:t>225.0</w:t>
            </w:r>
          </w:p>
        </w:tc>
      </w:tr>
    </w:tbl>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参考依据：</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[1] N. Cano, E. Fiaccadori, P. Tesinsky, et al. ESPEN Guidelines on Enteral Nutrition: Adult Renal Failure. Clinical Nutrition, 2006, 25: 295-310.</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[2] Kerri L. Wiggins. Guidelines for Nutrition Care of Renal Patients (Third Edition). USA: American Dietetic Association, 2002:10.</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[3] Joel D. The National Kidney Foundation K/DOQI Clinical Practice guidelines for Dietary Protein Intake for Chronic Dialysis Patients. American Journal of Kidney Disease, 2001, 38(4): pp S68-S73.</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[4] Linda Mccann. Pocket Guide to Nutrition Assessment of the Patient with Chronic Kidney Disease (4th Edition). National Kidney Foundation, 2009.</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[5] Lubos Sobatka</w:t>
      </w:r>
      <w:r w:rsidR="00093779" w:rsidRPr="00652F4F">
        <w:rPr>
          <w:rFonts w:ascii="Calibri" w:eastAsia="宋体" w:hAnsi="Calibri" w:cs="宋体"/>
          <w:color w:val="000000"/>
          <w:kern w:val="0"/>
          <w:sz w:val="28"/>
          <w:szCs w:val="28"/>
        </w:rPr>
        <w:t>主编</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蔡威译</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临床营养基础（第四版）</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上海</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上海交通大学出版社</w:t>
      </w:r>
      <w:r w:rsidR="00093779" w:rsidRPr="00652F4F">
        <w:rPr>
          <w:rFonts w:ascii="Calibri" w:eastAsia="宋体" w:hAnsi="Calibri" w:cs="宋体"/>
          <w:color w:val="000000"/>
          <w:kern w:val="0"/>
          <w:sz w:val="28"/>
          <w:szCs w:val="28"/>
        </w:rPr>
        <w:t>, 2013: 446-447.</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[6] </w:t>
      </w:r>
      <w:r w:rsidR="00093779" w:rsidRPr="00652F4F">
        <w:rPr>
          <w:rFonts w:ascii="Calibri" w:eastAsia="宋体" w:hAnsi="Calibri" w:cs="宋体"/>
          <w:color w:val="000000"/>
          <w:kern w:val="0"/>
          <w:sz w:val="28"/>
          <w:szCs w:val="28"/>
        </w:rPr>
        <w:t>慢性肾脏病蛋白营养治疗专家共识</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国外医学内分泌分册</w:t>
      </w:r>
      <w:r w:rsidR="00093779" w:rsidRPr="00652F4F">
        <w:rPr>
          <w:rFonts w:ascii="Calibri" w:eastAsia="宋体" w:hAnsi="Calibri" w:cs="宋体"/>
          <w:color w:val="000000"/>
          <w:kern w:val="0"/>
          <w:sz w:val="28"/>
          <w:szCs w:val="28"/>
        </w:rPr>
        <w:t>,2005, 25(6):437-438.</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[7] </w:t>
      </w:r>
      <w:r w:rsidR="00093779" w:rsidRPr="00652F4F">
        <w:rPr>
          <w:rFonts w:ascii="Calibri" w:eastAsia="宋体" w:hAnsi="Calibri" w:cs="宋体"/>
          <w:color w:val="000000"/>
          <w:kern w:val="0"/>
          <w:sz w:val="28"/>
          <w:szCs w:val="28"/>
        </w:rPr>
        <w:t>蔡威编</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临床营养学</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上海</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复旦出版社</w:t>
      </w:r>
      <w:r w:rsidR="00093779" w:rsidRPr="00652F4F">
        <w:rPr>
          <w:rFonts w:ascii="Calibri" w:eastAsia="宋体" w:hAnsi="Calibri" w:cs="宋体"/>
          <w:color w:val="000000"/>
          <w:kern w:val="0"/>
          <w:sz w:val="28"/>
          <w:szCs w:val="28"/>
        </w:rPr>
        <w:t>, 2012, P176.</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lastRenderedPageBreak/>
        <w:t xml:space="preserve">  </w:t>
      </w:r>
      <w:r w:rsidR="00093779" w:rsidRPr="00652F4F">
        <w:rPr>
          <w:rFonts w:ascii="Calibri" w:eastAsia="宋体" w:hAnsi="Calibri" w:cs="宋体"/>
          <w:color w:val="000000"/>
          <w:kern w:val="0"/>
          <w:sz w:val="28"/>
          <w:szCs w:val="28"/>
        </w:rPr>
        <w:t>[8] European Scientific Committee for Food (Forty-First Series). Opinion on Foods for Special Medical Purposes (FSMPS) ,1996 .</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[9] </w:t>
      </w:r>
      <w:r w:rsidR="00093779" w:rsidRPr="00652F4F">
        <w:rPr>
          <w:rFonts w:ascii="Calibri" w:eastAsia="宋体" w:hAnsi="Calibri" w:cs="宋体"/>
          <w:color w:val="000000"/>
          <w:kern w:val="0"/>
          <w:sz w:val="28"/>
          <w:szCs w:val="28"/>
        </w:rPr>
        <w:t>中华医学会编著</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中国临床诊疗指南</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肠外肠内营养学分册（</w:t>
      </w:r>
      <w:r w:rsidR="00093779" w:rsidRPr="00652F4F">
        <w:rPr>
          <w:rFonts w:ascii="Calibri" w:eastAsia="宋体" w:hAnsi="Calibri" w:cs="宋体"/>
          <w:color w:val="000000"/>
          <w:kern w:val="0"/>
          <w:sz w:val="28"/>
          <w:szCs w:val="28"/>
        </w:rPr>
        <w:t>2008</w:t>
      </w:r>
      <w:r w:rsidR="00093779" w:rsidRPr="00652F4F">
        <w:rPr>
          <w:rFonts w:ascii="Calibri" w:eastAsia="宋体" w:hAnsi="Calibri" w:cs="宋体"/>
          <w:color w:val="000000"/>
          <w:kern w:val="0"/>
          <w:sz w:val="28"/>
          <w:szCs w:val="28"/>
        </w:rPr>
        <w:t>版）</w:t>
      </w:r>
      <w:r w:rsidR="00093779" w:rsidRPr="00652F4F">
        <w:rPr>
          <w:rFonts w:ascii="Calibri" w:eastAsia="宋体" w:hAnsi="Calibri" w:cs="宋体"/>
          <w:color w:val="000000"/>
          <w:kern w:val="0"/>
          <w:sz w:val="28"/>
          <w:szCs w:val="28"/>
        </w:rPr>
        <w:t>.</w:t>
      </w:r>
      <w:r w:rsidR="00093779" w:rsidRPr="00652F4F">
        <w:rPr>
          <w:rFonts w:ascii="Calibri" w:eastAsia="宋体" w:hAnsi="Calibri" w:cs="宋体"/>
          <w:color w:val="000000"/>
          <w:kern w:val="0"/>
          <w:sz w:val="28"/>
          <w:szCs w:val="28"/>
        </w:rPr>
        <w:t>北京：人民卫生出版社</w:t>
      </w:r>
      <w:r w:rsidR="00093779" w:rsidRPr="00652F4F">
        <w:rPr>
          <w:rFonts w:ascii="Calibri" w:eastAsia="宋体" w:hAnsi="Calibri" w:cs="宋体"/>
          <w:color w:val="000000"/>
          <w:kern w:val="0"/>
          <w:sz w:val="28"/>
          <w:szCs w:val="28"/>
        </w:rPr>
        <w:t>, 2008:96-100.</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[10] </w:t>
      </w:r>
      <w:r w:rsidR="00093779" w:rsidRPr="00652F4F">
        <w:rPr>
          <w:rFonts w:ascii="Calibri" w:eastAsia="宋体" w:hAnsi="Calibri" w:cs="宋体"/>
          <w:color w:val="000000"/>
          <w:kern w:val="0"/>
          <w:sz w:val="28"/>
          <w:szCs w:val="28"/>
        </w:rPr>
        <w:t>吴肇汉主编</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实用临床营养治疗学</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上海</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上海科学技术出版社</w:t>
      </w:r>
      <w:r w:rsidR="00093779" w:rsidRPr="00652F4F">
        <w:rPr>
          <w:rFonts w:ascii="Calibri" w:eastAsia="宋体" w:hAnsi="Calibri" w:cs="宋体"/>
          <w:color w:val="000000"/>
          <w:kern w:val="0"/>
          <w:sz w:val="28"/>
          <w:szCs w:val="28"/>
        </w:rPr>
        <w:t>, 2001, P408.</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[11] Judith A., VINOD K. BANSAL, et al. Medical Nutrition therapy in Chronic Kidney Failure: Integrating Clinical Practice Guidelines. Journal of The American Dietetic Association, 2004:404-409.</w:t>
      </w:r>
    </w:p>
    <w:p w:rsidR="00093779" w:rsidRPr="00652F4F" w:rsidRDefault="00302426" w:rsidP="00093779">
      <w:pPr>
        <w:widowControl/>
        <w:shd w:val="clear" w:color="auto" w:fill="FFFFFF"/>
        <w:jc w:val="left"/>
        <w:rPr>
          <w:rFonts w:ascii="Simsun" w:eastAsia="宋体" w:hAnsi="Simsun" w:cs="宋体" w:hint="eastAsia"/>
          <w:color w:val="000000"/>
          <w:kern w:val="0"/>
          <w:szCs w:val="21"/>
        </w:rPr>
      </w:pPr>
      <w:r>
        <w:rPr>
          <w:rFonts w:ascii="Simsun" w:eastAsia="宋体" w:hAnsi="Simsun" w:cs="宋体"/>
          <w:color w:val="000000"/>
          <w:kern w:val="0"/>
          <w:szCs w:val="21"/>
        </w:rPr>
        <w:t xml:space="preserve">  </w:t>
      </w:r>
      <w:r w:rsidR="00093779" w:rsidRPr="00652F4F">
        <w:rPr>
          <w:rFonts w:ascii="FangSong_GB2312" w:eastAsia="FangSong_GB2312" w:hAnsi="Simsun" w:cs="宋体" w:hint="eastAsia"/>
          <w:color w:val="000000"/>
          <w:kern w:val="0"/>
          <w:sz w:val="32"/>
          <w:szCs w:val="32"/>
        </w:rPr>
        <w:t>4、恶性肿瘤（恶病质状态）病人用全营养配方食品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手术期、恶液质期的恶性肿瘤（恶病质状态）患者由于肿瘤的消耗、阻碍进食和消化、以及肿瘤对食欲的影响、患者精神抑郁等因素，伴随的以体重下降为特征的营养不良比较常见，因此应尽早对患者进行营养补充。</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该特定全营养配方产品应适当提高蛋白质的含量并调整与机体免疫功能相关的营养素含量，为患者提供每日所需的营养物质。</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恶性肿瘤（恶病质状态）病人用全营养配方食品应满足如下技术要求：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1)蛋白质的含量应不低于 0.8 g/100kJ (3.3 g/100kcal)。</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2)n-3脂肪酸（以EPA和DHA计）在配方中的供能比应为1%-6%,同时对亚油酸和α-亚麻酸的供能比不再做相应要求。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3)可选择添加营养素（精氨酸、谷氨酰胺、亮氨酸）。如果添加精</w:t>
      </w:r>
      <w:r w:rsidR="00093779" w:rsidRPr="00652F4F">
        <w:rPr>
          <w:rFonts w:ascii="FangSong_GB2312" w:eastAsia="FangSong_GB2312" w:hAnsi="Simsun" w:cs="宋体" w:hint="eastAsia"/>
          <w:color w:val="000000"/>
          <w:kern w:val="0"/>
          <w:sz w:val="32"/>
          <w:szCs w:val="32"/>
        </w:rPr>
        <w:lastRenderedPageBreak/>
        <w:t>氨酸，其在产品中的含量应不低于0.12g/100 kJ (0.5g/100kcal)；如果添加谷氨酰胺，其在产品中的含量应为0.04g/100kJ -0.53g/100kJ（0.15g/100kcal- 2.22g/100kcal）；如果添加亮氨酸，其含量应不低于0.03g/100kJ(0.13g/100kcal)。</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Calibri" w:eastAsia="FangSong_GB2312" w:hAnsi="Calibri" w:cs="宋体"/>
          <w:color w:val="000000"/>
          <w:kern w:val="0"/>
          <w:sz w:val="28"/>
          <w:szCs w:val="28"/>
        </w:rPr>
        <w:t>参考依据：</w:t>
      </w:r>
      <w:r w:rsidR="00093779" w:rsidRPr="00652F4F">
        <w:rPr>
          <w:rFonts w:ascii="Calibri" w:eastAsia="FangSong_GB2312" w:hAnsi="Calibri" w:cs="宋体"/>
          <w:color w:val="000000"/>
          <w:kern w:val="0"/>
          <w:sz w:val="28"/>
          <w:szCs w:val="28"/>
        </w:rPr>
        <w:t>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 J. Arends,G. Bodoky, et al. ESPEN Guidelines on Enteral Nutrition : Non-surgical oncology. Clinical Nutrition, 2006, 25, 245-259.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[2] </w:t>
      </w:r>
      <w:r w:rsidR="00093779" w:rsidRPr="00652F4F">
        <w:rPr>
          <w:rFonts w:ascii="Calibri" w:eastAsia="FangSong_GB2312" w:hAnsi="Calibri" w:cs="宋体"/>
          <w:color w:val="000000"/>
          <w:kern w:val="0"/>
          <w:sz w:val="28"/>
          <w:szCs w:val="28"/>
        </w:rPr>
        <w:t>顾景范</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杜寿玢</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郭长江主编</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现代临床营养学</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北京：科学出版社。</w:t>
      </w:r>
      <w:r w:rsidR="00093779" w:rsidRPr="00652F4F">
        <w:rPr>
          <w:rFonts w:ascii="Calibri" w:eastAsia="FangSong_GB2312" w:hAnsi="Calibri" w:cs="宋体"/>
          <w:color w:val="000000"/>
          <w:kern w:val="0"/>
          <w:sz w:val="28"/>
          <w:szCs w:val="28"/>
        </w:rPr>
        <w:t>2009, P683.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[3] </w:t>
      </w:r>
      <w:r w:rsidR="00093779" w:rsidRPr="00652F4F">
        <w:rPr>
          <w:rFonts w:ascii="Calibri" w:eastAsia="FangSong_GB2312" w:hAnsi="Calibri" w:cs="宋体"/>
          <w:color w:val="000000"/>
          <w:kern w:val="0"/>
          <w:sz w:val="28"/>
          <w:szCs w:val="28"/>
        </w:rPr>
        <w:t>吴肇汉主编</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实用临床营养治疗学</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上海</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上海科学技术出版社</w:t>
      </w:r>
      <w:r w:rsidR="00093779" w:rsidRPr="00652F4F">
        <w:rPr>
          <w:rFonts w:ascii="Calibri" w:eastAsia="FangSong_GB2312" w:hAnsi="Calibri" w:cs="宋体"/>
          <w:color w:val="000000"/>
          <w:kern w:val="0"/>
          <w:sz w:val="28"/>
          <w:szCs w:val="28"/>
        </w:rPr>
        <w:t>. 2001: 312-331.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[4] A. Weimann, M. Braga, et al. ESPEN Guidelines on Enteral Nutrition: Surgery including Organ Transplantation. Clinical Nutrition, 2006, 25, 224-244.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[5] David Allen August, Maureen B. Huhmann, et al. ASPEN. Clinical Guidelines: Nutrition Support Therapy During Adult Anticancer Treatment and in Hematopoietic Cell Transplantation. J Parenter Enteral Nutr, 2009, 33: 472.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[6] Ramon Colomer, et al. n-3 Fatty Acids, Cancer and Cachexia: a Systematic Review of the Literature. British Journal of Nutrition 2007, 97: 823-831.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[7] Barbara S van der Meij, et al. n-3 PUFAs in Cancer, Surgery, and Critical Case: a Systematic Review on Clinical Effects, Incorporation, and Washout of Oral or Enteral Compared with Parenteral Supplementation.  The American Journal of Clinical Nutrition, 2011, 94: 1248-65.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lastRenderedPageBreak/>
        <w:t xml:space="preserve">  </w:t>
      </w:r>
      <w:r w:rsidR="00093779" w:rsidRPr="00652F4F">
        <w:rPr>
          <w:rFonts w:ascii="Calibri" w:eastAsia="FangSong_GB2312" w:hAnsi="Calibri" w:cs="宋体"/>
          <w:color w:val="000000"/>
          <w:kern w:val="0"/>
          <w:sz w:val="28"/>
          <w:szCs w:val="28"/>
        </w:rPr>
        <w:t>[8] S.RISO, P.ALUFFI, et al. Postoperative Enteral Immunonutrition in Head and Neck Cancer Patients. Clinical Nutrition, 2000, 19 (6): 407-412.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[9] Park KG1, Heys SD, Blessing K,et al. Stimulation of Human Breast Cancers by Dietary L-arginine. Clin Sci (Lond), 1992, 82 (4):413-417.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[10] </w:t>
      </w:r>
      <w:r w:rsidR="00093779" w:rsidRPr="00652F4F">
        <w:rPr>
          <w:rFonts w:ascii="Calibri" w:eastAsia="FangSong_GB2312" w:hAnsi="Calibri" w:cs="宋体"/>
          <w:color w:val="000000"/>
          <w:kern w:val="0"/>
          <w:sz w:val="28"/>
          <w:szCs w:val="28"/>
        </w:rPr>
        <w:t>胡细玲</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凌聪</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周雪玲</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谷氨酰胺强化肠内营养在腹腔镜胃癌根治术后早期的应用</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全科护理</w:t>
      </w:r>
      <w:r w:rsidR="00093779" w:rsidRPr="00652F4F">
        <w:rPr>
          <w:rFonts w:ascii="Calibri" w:eastAsia="FangSong_GB2312" w:hAnsi="Calibri" w:cs="宋体"/>
          <w:color w:val="000000"/>
          <w:kern w:val="0"/>
          <w:sz w:val="28"/>
          <w:szCs w:val="28"/>
        </w:rPr>
        <w:t>, 2012, 10(7): 1881-1882.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[11] Jiun-jie Lin, Xiu-Juan Chung, et al. A Meta-analysis of Trials Using the Intention to Treat Principle for Glutamine Supplementation in Critically Ill Patients with Burn. Burns, 2013,39:565-570.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[12] Joint FAO/WHO/UNU Expert Consultation. Protein and Amino Acid Requirements in Human Nutrition: Report of a Joint WHO/FAO/UNU Expert Consultation. WHO Technical report series; no. 935. WHO Press, 2002: 138-139 </w:t>
      </w:r>
      <w:r w:rsidR="00093779" w:rsidRPr="00652F4F">
        <w:rPr>
          <w:rFonts w:ascii="Calibri" w:eastAsia="FangSong_GB2312" w:hAnsi="Calibri" w:cs="宋体"/>
          <w:color w:val="000000"/>
          <w:kern w:val="0"/>
          <w:sz w:val="28"/>
          <w:szCs w:val="28"/>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5、炎性肠病病人用全营养配方食品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炎性肠病主要包括溃疡性结肠炎（UC）和克罗恩病（CD）。UC和CD均为肠道非特异性疾病。由于病变主要发生在消化道，既妨碍营养物质的摄入、消化和吸收，又造成营养物质从肠道不同程度的丢失。针对上述情况，配方应使用易消化吸收的蛋白质和脂肪来源，以改善患者的营养状况和临床症状。</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炎性肠病病人用全营养配方食品应满足如下技术要求：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t>可以选用整蛋白、食物蛋白质水解物、肽类和/或氨基酸作为蛋白质的来源；</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2）脂肪供能比应不超过40%，其中中链甘油三酯（MCT）含量应不低</w:t>
      </w:r>
      <w:r w:rsidR="00093779" w:rsidRPr="00652F4F">
        <w:rPr>
          <w:rFonts w:ascii="FangSong_GB2312" w:eastAsia="FangSong_GB2312" w:hAnsi="Simsun" w:cs="宋体" w:hint="eastAsia"/>
          <w:color w:val="000000"/>
          <w:kern w:val="0"/>
          <w:sz w:val="32"/>
          <w:szCs w:val="32"/>
        </w:rPr>
        <w:lastRenderedPageBreak/>
        <w:t>于总脂肪的40%。</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Calibri" w:eastAsia="FangSong_GB2312" w:hAnsi="Calibri" w:cs="宋体"/>
          <w:color w:val="000000"/>
          <w:kern w:val="0"/>
          <w:sz w:val="28"/>
          <w:szCs w:val="28"/>
        </w:rPr>
        <w:t>参考依据</w:t>
      </w:r>
      <w:r w:rsidR="00093779" w:rsidRPr="00652F4F">
        <w:rPr>
          <w:rFonts w:ascii="Calibri" w:eastAsia="FangSong_GB2312" w:hAnsi="Calibri" w:cs="宋体"/>
          <w:color w:val="000000"/>
          <w:kern w:val="0"/>
          <w:sz w:val="28"/>
          <w:szCs w:val="28"/>
        </w:rPr>
        <w:t xml:space="preserve"> :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 xml:space="preserve">[1] </w:t>
      </w:r>
      <w:r w:rsidR="00093779" w:rsidRPr="00652F4F">
        <w:rPr>
          <w:rFonts w:ascii="Calibri" w:eastAsia="FangSong_GB2312" w:hAnsi="Calibri" w:cs="宋体"/>
          <w:color w:val="000000"/>
          <w:kern w:val="0"/>
          <w:sz w:val="28"/>
          <w:szCs w:val="28"/>
        </w:rPr>
        <w:t>中华医学会编著</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中国临床诊疗指南</w:t>
      </w:r>
      <w:r w:rsidR="00093779" w:rsidRPr="00652F4F">
        <w:rPr>
          <w:rFonts w:ascii="Calibri" w:eastAsia="FangSong_GB2312" w:hAnsi="Calibri" w:cs="宋体"/>
          <w:color w:val="000000"/>
          <w:kern w:val="0"/>
          <w:sz w:val="28"/>
          <w:szCs w:val="28"/>
        </w:rPr>
        <w:t>•</w:t>
      </w:r>
      <w:r w:rsidR="00093779" w:rsidRPr="00652F4F">
        <w:rPr>
          <w:rFonts w:ascii="Calibri" w:eastAsia="FangSong_GB2312" w:hAnsi="Calibri" w:cs="宋体"/>
          <w:color w:val="000000"/>
          <w:kern w:val="0"/>
          <w:sz w:val="28"/>
          <w:szCs w:val="28"/>
        </w:rPr>
        <w:t>肠外肠内营养学分册（</w:t>
      </w:r>
      <w:r w:rsidR="00093779" w:rsidRPr="00652F4F">
        <w:rPr>
          <w:rFonts w:ascii="Calibri" w:eastAsia="FangSong_GB2312" w:hAnsi="Calibri" w:cs="宋体"/>
          <w:color w:val="000000"/>
          <w:kern w:val="0"/>
          <w:sz w:val="28"/>
          <w:szCs w:val="28"/>
        </w:rPr>
        <w:t>2008</w:t>
      </w:r>
      <w:r w:rsidR="00093779" w:rsidRPr="00652F4F">
        <w:rPr>
          <w:rFonts w:ascii="Calibri" w:eastAsia="FangSong_GB2312" w:hAnsi="Calibri" w:cs="宋体"/>
          <w:color w:val="000000"/>
          <w:kern w:val="0"/>
          <w:sz w:val="28"/>
          <w:szCs w:val="28"/>
        </w:rPr>
        <w:t>版）</w:t>
      </w:r>
      <w:r w:rsidR="00093779" w:rsidRPr="00652F4F">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北京：人民卫生出版社</w:t>
      </w:r>
      <w:r w:rsidR="00093779" w:rsidRPr="00652F4F">
        <w:rPr>
          <w:rFonts w:ascii="Calibri" w:eastAsia="FangSong_GB2312" w:hAnsi="Calibri" w:cs="宋体"/>
          <w:color w:val="000000"/>
          <w:kern w:val="0"/>
          <w:sz w:val="28"/>
          <w:szCs w:val="28"/>
        </w:rPr>
        <w:t>, 2008, P69-70.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[2] H.Lochs, C.Dejong, F.Hammargvist, et al. ESPEN Guidelines on Enteral Nutrition: Gastroenterology. Clinical Nutrition, 2006, 25: 260-274.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[3] James A. Olson, Moshe Shike. Modern Nutrition in Health and Disease (eighth edition). USA: Lea &amp; Febiger, 1994, P1043-1045. </w:t>
      </w:r>
      <w:r w:rsidR="00093779" w:rsidRPr="00652F4F">
        <w:rPr>
          <w:rFonts w:ascii="Calibri" w:eastAsia="FangSong_GB2312" w:hAnsi="Calibri" w:cs="宋体"/>
          <w:color w:val="000000"/>
          <w:kern w:val="0"/>
          <w:sz w:val="28"/>
          <w:szCs w:val="28"/>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6、食物蛋白过敏病人用全营养配方食品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该类配方食品作为《特殊医学用途婴儿配方食品通则》（GB 25596-2010）中适用于食物蛋白过敏婴儿的配方食品的一个延续，适用于1岁以上的食物蛋白过敏患者。</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此类食品的配方应为食物蛋白深度水解配方或氨基酸配方，即采用一定的工艺将引起过敏反应的食物蛋白水解成短肽和游离氨基酸，或者直接采用单体氨基酸代替蛋白质。所使用的氨基酸来源应符合本标准附录B或《食品营养强化剂使用标准》（GB 14880-2012）的规定。</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7、难治性癫痫病人用全营养配方食品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生酮饮食是难治性癫痫病人的主要营养支持途径。该类全营养配方食品采用高脂肪、低碳水化合物和适量蛋白质的配方（即生酮饮食配方），在提供营养的同时为大脑提供必要的能量，缓解癫痫的发作。</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难治性癫痫病人用全营养配方食品中脂肪与（蛋白质+碳水化合物）的质量比范围应在1:1－5:1之间。</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Calibri" w:eastAsia="FangSong_GB2312" w:hAnsi="Calibri" w:cs="宋体"/>
          <w:color w:val="000000"/>
          <w:kern w:val="0"/>
          <w:sz w:val="28"/>
          <w:szCs w:val="28"/>
        </w:rPr>
        <w:t>参考依据：</w:t>
      </w:r>
      <w:r w:rsidR="00093779" w:rsidRPr="00652F4F">
        <w:rPr>
          <w:rFonts w:ascii="Calibri" w:eastAsia="FangSong_GB2312" w:hAnsi="Calibri" w:cs="宋体"/>
          <w:color w:val="000000"/>
          <w:kern w:val="0"/>
          <w:sz w:val="28"/>
          <w:szCs w:val="28"/>
        </w:rPr>
        <w:t>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[1] Eric H. Kossoff, Beth A. Zupec-Kania, Per E. Amark, et al. Optimal Clinical Management of Children Receiving the Ketogenic Diet: Recommendations of the International Ketogenic Diet Study Group. Epilepsia.2009;50(2):304–317.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[2] Zahava Turner, Eric H.Kossoff. The Ketogenic and Atkins Diets: Recipes for Seizure Control. Practical gastroenterology.2006;6:53-64.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[3] Eric H. Kossoff1, Huei-Shyong Wang. Dietary Therapies for Epilepsy. Biomed J.2013; 36(1):2-8 </w:t>
      </w:r>
      <w:r w:rsidR="00093779" w:rsidRPr="00652F4F">
        <w:rPr>
          <w:rFonts w:ascii="Calibri" w:eastAsia="FangSong_GB2312" w:hAnsi="Calibri" w:cs="宋体"/>
          <w:color w:val="000000"/>
          <w:kern w:val="0"/>
          <w:sz w:val="28"/>
          <w:szCs w:val="28"/>
        </w:rPr>
        <w:br/>
      </w:r>
      <w:r>
        <w:rPr>
          <w:rFonts w:ascii="Calibri" w:eastAsia="FangSong_GB2312" w:hAnsi="Calibri" w:cs="宋体"/>
          <w:color w:val="000000"/>
          <w:kern w:val="0"/>
          <w:sz w:val="28"/>
          <w:szCs w:val="28"/>
        </w:rPr>
        <w:t xml:space="preserve">  </w:t>
      </w:r>
      <w:r w:rsidR="00093779" w:rsidRPr="00652F4F">
        <w:rPr>
          <w:rFonts w:ascii="Calibri" w:eastAsia="FangSong_GB2312" w:hAnsi="Calibri" w:cs="宋体"/>
          <w:color w:val="000000"/>
          <w:kern w:val="0"/>
          <w:sz w:val="28"/>
          <w:szCs w:val="28"/>
        </w:rPr>
        <w:t>[4] David N.Ruskin, Susan A.Masino. The Nervous System and Metabolic Dysregulation: Emerging Evidence Converges on Ketogenic Diet Therapy. Frontiers in Neuroscience. 2012;6:1-12 </w:t>
      </w:r>
      <w:r w:rsidR="00093779" w:rsidRPr="00652F4F">
        <w:rPr>
          <w:rFonts w:ascii="Calibri" w:eastAsia="FangSong_GB2312" w:hAnsi="Calibri" w:cs="宋体"/>
          <w:color w:val="000000"/>
          <w:kern w:val="0"/>
          <w:sz w:val="28"/>
          <w:szCs w:val="28"/>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8、肥胖、减脂手术病人用全营养配方食品</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肥胖、减脂手术病人由于代谢紊乱而导致蛋白质和微量营养素摄入不足现象，该类特定全营养配方食品的配方特点为在提供较低能量的同时可以保证充足的蛋白质和微量营养素（维生素、矿物质等）的供应，适用于肥胖、减脂手术病人。其产品配方应满足如下技术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1)根据产品使用说明，每日摄入的能量为600-1200kcal；</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2)为保证蛋白质和微量营养素的摄入，每100 kcal产品中应适当增加某些营养素的含量，调整范围如表3。</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p>
    <w:p w:rsidR="00093779" w:rsidRPr="00652F4F" w:rsidRDefault="00093779" w:rsidP="00093779">
      <w:pPr>
        <w:widowControl/>
        <w:shd w:val="clear" w:color="auto" w:fill="FFFFFF"/>
        <w:spacing w:line="440" w:lineRule="atLeast"/>
        <w:jc w:val="center"/>
        <w:rPr>
          <w:rFonts w:ascii="黑体" w:eastAsia="黑体" w:hAnsi="黑体" w:cs="宋体"/>
          <w:color w:val="000000"/>
          <w:kern w:val="0"/>
          <w:szCs w:val="21"/>
        </w:rPr>
      </w:pPr>
      <w:r w:rsidRPr="00652F4F">
        <w:rPr>
          <w:rFonts w:ascii="FangSong_GB2312" w:eastAsia="FangSong_GB2312" w:hAnsi="黑体" w:cs="宋体" w:hint="eastAsia"/>
          <w:color w:val="000000"/>
          <w:kern w:val="0"/>
          <w:sz w:val="32"/>
          <w:szCs w:val="32"/>
        </w:rPr>
        <w:t>表3.肥胖症、减脂手术病人用全营养配方食品营养素可调整的范围</w:t>
      </w:r>
    </w:p>
    <w:tbl>
      <w:tblPr>
        <w:tblW w:w="8817" w:type="dxa"/>
        <w:jc w:val="center"/>
        <w:tblCellMar>
          <w:left w:w="0" w:type="dxa"/>
          <w:right w:w="0" w:type="dxa"/>
        </w:tblCellMar>
        <w:tblLook w:val="04A0" w:firstRow="1" w:lastRow="0" w:firstColumn="1" w:lastColumn="0" w:noHBand="0" w:noVBand="1"/>
      </w:tblPr>
      <w:tblGrid>
        <w:gridCol w:w="2031"/>
        <w:gridCol w:w="1289"/>
        <w:gridCol w:w="1247"/>
        <w:gridCol w:w="1165"/>
        <w:gridCol w:w="1407"/>
        <w:gridCol w:w="1678"/>
      </w:tblGrid>
      <w:tr w:rsidR="00093779" w:rsidRPr="00652F4F" w:rsidTr="00093779">
        <w:trPr>
          <w:cantSplit/>
          <w:trHeight w:val="363"/>
          <w:jc w:val="center"/>
        </w:trPr>
        <w:tc>
          <w:tcPr>
            <w:tcW w:w="206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营养素</w:t>
            </w:r>
          </w:p>
        </w:tc>
        <w:tc>
          <w:tcPr>
            <w:tcW w:w="119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单位</w:t>
            </w:r>
          </w:p>
        </w:tc>
        <w:tc>
          <w:tcPr>
            <w:tcW w:w="24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每100 kJ</w:t>
            </w:r>
          </w:p>
        </w:tc>
        <w:tc>
          <w:tcPr>
            <w:tcW w:w="312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每100 kcal</w:t>
            </w:r>
          </w:p>
        </w:tc>
      </w:tr>
      <w:tr w:rsidR="00093779" w:rsidRPr="00652F4F" w:rsidTr="00093779">
        <w:trPr>
          <w:trHeight w:val="3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3779" w:rsidRPr="00652F4F" w:rsidRDefault="00093779" w:rsidP="00093779">
            <w:pPr>
              <w:widowControl/>
              <w:jc w:val="left"/>
              <w:rPr>
                <w:rFonts w:ascii="Calibri" w:eastAsia="宋体" w:hAnsi="Calibri" w:cs="宋体"/>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093779" w:rsidRPr="00652F4F" w:rsidRDefault="00093779" w:rsidP="00093779">
            <w:pPr>
              <w:widowControl/>
              <w:jc w:val="left"/>
              <w:rPr>
                <w:rFonts w:ascii="Calibri" w:eastAsia="宋体" w:hAnsi="Calibri" w:cs="宋体"/>
                <w:kern w:val="0"/>
                <w:szCs w:val="21"/>
              </w:rPr>
            </w:pP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最小值</w:t>
            </w: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最大值</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最小值</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最大值</w:t>
            </w:r>
          </w:p>
        </w:tc>
      </w:tr>
      <w:tr w:rsidR="00093779" w:rsidRPr="00652F4F" w:rsidTr="00093779">
        <w:trPr>
          <w:trHeight w:val="354"/>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蛋白质</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r w:rsidRPr="00652F4F">
              <w:rPr>
                <w:rFonts w:ascii="FangSong_GB2312" w:eastAsia="FangSong_GB2312" w:hAnsi="Calibri" w:cs="宋体" w:hint="eastAsia"/>
                <w:kern w:val="0"/>
                <w:sz w:val="32"/>
                <w:szCs w:val="32"/>
                <w:vertAlign w:val="superscript"/>
              </w:rPr>
              <w:t>a</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8.4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14"/>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碳水化合物</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8.4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30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维生素A</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Symbol" w:eastAsia="宋体" w:hAnsi="Symbol" w:cs="宋体"/>
                <w:kern w:val="0"/>
                <w:sz w:val="32"/>
                <w:szCs w:val="32"/>
              </w:rPr>
              <w:t></w:t>
            </w:r>
            <w:r w:rsidRPr="00652F4F">
              <w:rPr>
                <w:rFonts w:ascii="FangSong_GB2312" w:eastAsia="FangSong_GB2312" w:hAnsi="Calibri" w:cs="宋体" w:hint="eastAsia"/>
                <w:kern w:val="0"/>
                <w:sz w:val="32"/>
                <w:szCs w:val="32"/>
              </w:rPr>
              <w:t>g RE</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24.0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100.0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78"/>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维生素D</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Symbol" w:eastAsia="宋体" w:hAnsi="Symbol" w:cs="宋体"/>
                <w:kern w:val="0"/>
                <w:sz w:val="32"/>
                <w:szCs w:val="32"/>
              </w:rPr>
              <w:t></w:t>
            </w: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0.10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0.42</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28"/>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维生素E</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r w:rsidRPr="00652F4F">
              <w:rPr>
                <w:rFonts w:ascii="FangSong_GB2312" w:eastAsia="FangSong_GB2312" w:hAnsi="Calibri" w:cs="宋体" w:hint="eastAsia"/>
                <w:kern w:val="0"/>
                <w:sz w:val="32"/>
                <w:szCs w:val="32"/>
              </w:rPr>
              <w:t> </w:t>
            </w:r>
            <w:r w:rsidRPr="00652F4F">
              <w:rPr>
                <w:rFonts w:ascii="Symbol" w:eastAsia="宋体" w:hAnsi="Symbol" w:cs="宋体"/>
                <w:kern w:val="0"/>
                <w:sz w:val="32"/>
                <w:szCs w:val="32"/>
              </w:rPr>
              <w:t></w:t>
            </w:r>
            <w:r w:rsidRPr="00652F4F">
              <w:rPr>
                <w:rFonts w:ascii="FangSong_GB2312" w:eastAsia="FangSong_GB2312" w:hAnsi="Calibri" w:cs="宋体" w:hint="eastAsia"/>
                <w:kern w:val="0"/>
                <w:sz w:val="32"/>
                <w:szCs w:val="32"/>
              </w:rPr>
              <w:t>-TE</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0.40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1.70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34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维生素B</w:t>
            </w:r>
            <w:r w:rsidRPr="00652F4F">
              <w:rPr>
                <w:rFonts w:ascii="FangSong_GB2312" w:eastAsia="FangSong_GB2312" w:hAnsi="Calibri" w:cs="宋体" w:hint="eastAsia"/>
                <w:kern w:val="0"/>
                <w:sz w:val="32"/>
                <w:szCs w:val="32"/>
                <w:vertAlign w:val="subscript"/>
              </w:rPr>
              <w:t>1</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0.03</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0.14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5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维生素B</w:t>
            </w:r>
            <w:r w:rsidRPr="00652F4F">
              <w:rPr>
                <w:rFonts w:ascii="FangSong_GB2312" w:eastAsia="FangSong_GB2312" w:hAnsi="Calibri" w:cs="宋体" w:hint="eastAsia"/>
                <w:kern w:val="0"/>
                <w:sz w:val="32"/>
                <w:szCs w:val="32"/>
                <w:vertAlign w:val="subscript"/>
              </w:rPr>
              <w:t>2</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0.05</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0.20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14"/>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维生素B</w:t>
            </w:r>
            <w:r w:rsidRPr="00652F4F">
              <w:rPr>
                <w:rFonts w:ascii="FangSong_GB2312" w:eastAsia="FangSong_GB2312" w:hAnsi="Calibri" w:cs="宋体" w:hint="eastAsia"/>
                <w:kern w:val="0"/>
                <w:sz w:val="32"/>
                <w:szCs w:val="32"/>
                <w:vertAlign w:val="subscript"/>
              </w:rPr>
              <w:t>6</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0.08</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0.34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327"/>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维生素B</w:t>
            </w:r>
            <w:r w:rsidRPr="00652F4F">
              <w:rPr>
                <w:rFonts w:ascii="FangSong_GB2312" w:eastAsia="FangSong_GB2312" w:hAnsi="Calibri" w:cs="宋体" w:hint="eastAsia"/>
                <w:kern w:val="0"/>
                <w:sz w:val="32"/>
                <w:szCs w:val="32"/>
                <w:vertAlign w:val="subscript"/>
              </w:rPr>
              <w:t>12</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宋体" w:eastAsia="宋体" w:hAnsi="宋体" w:cs="宋体" w:hint="eastAsia"/>
                <w:kern w:val="0"/>
                <w:sz w:val="32"/>
                <w:szCs w:val="32"/>
              </w:rPr>
              <w:t>µ</w:t>
            </w: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0.04</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0.17</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5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维生素C</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1.2</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14"/>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烟酸（烟酰胺）</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0.44</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1.84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178"/>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叶酸</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宋体" w:eastAsia="宋体" w:hAnsi="宋体" w:cs="宋体" w:hint="eastAsia"/>
                <w:kern w:val="0"/>
                <w:sz w:val="32"/>
                <w:szCs w:val="32"/>
              </w:rPr>
              <w:t>µ</w:t>
            </w: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8.0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33.4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178"/>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钠</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40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167</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78"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78"/>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钾</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64</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267</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4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铜</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宋体" w:eastAsia="宋体" w:hAnsi="宋体" w:cs="宋体" w:hint="eastAsia"/>
                <w:kern w:val="0"/>
                <w:sz w:val="32"/>
                <w:szCs w:val="32"/>
              </w:rPr>
              <w:t>µ</w:t>
            </w: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60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250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05"/>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镁</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14.0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58.4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91"/>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铁</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0.64</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2.67</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132"/>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锌</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0.2</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3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82"/>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lastRenderedPageBreak/>
              <w:t>钙</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84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82"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195"/>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磷</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mg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20.0</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84.0</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145"/>
          <w:jc w:val="center"/>
        </w:trPr>
        <w:tc>
          <w:tcPr>
            <w:tcW w:w="20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碘</w:t>
            </w:r>
          </w:p>
        </w:tc>
        <w:tc>
          <w:tcPr>
            <w:tcW w:w="11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宋体" w:eastAsia="宋体" w:hAnsi="宋体" w:cs="宋体" w:hint="eastAsia"/>
                <w:kern w:val="0"/>
                <w:sz w:val="32"/>
                <w:szCs w:val="32"/>
              </w:rPr>
              <w:t>µ</w:t>
            </w:r>
            <w:r w:rsidRPr="00652F4F">
              <w:rPr>
                <w:rFonts w:ascii="FangSong_GB2312" w:eastAsia="FangSong_GB2312" w:hAnsi="Calibri" w:cs="宋体" w:hint="eastAsia"/>
                <w:kern w:val="0"/>
                <w:sz w:val="32"/>
                <w:szCs w:val="32"/>
              </w:rPr>
              <w:t>g</w:t>
            </w:r>
          </w:p>
        </w:tc>
        <w:tc>
          <w:tcPr>
            <w:tcW w:w="12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5.6</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23.4</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145" w:lineRule="atLeast"/>
              <w:ind w:right="-2"/>
              <w:jc w:val="center"/>
              <w:rPr>
                <w:rFonts w:ascii="Calibri" w:eastAsia="宋体" w:hAnsi="Calibri" w:cs="宋体"/>
                <w:kern w:val="0"/>
                <w:szCs w:val="21"/>
              </w:rPr>
            </w:pPr>
            <w:r w:rsidRPr="00652F4F">
              <w:rPr>
                <w:rFonts w:ascii="FangSong_GB2312" w:eastAsia="FangSong_GB2312" w:hAnsi="Calibri" w:cs="宋体" w:hint="eastAsia"/>
                <w:kern w:val="0"/>
                <w:sz w:val="32"/>
                <w:szCs w:val="32"/>
              </w:rPr>
              <w:t>N.S.</w:t>
            </w:r>
          </w:p>
        </w:tc>
      </w:tr>
      <w:tr w:rsidR="00093779" w:rsidRPr="00652F4F" w:rsidTr="00093779">
        <w:trPr>
          <w:trHeight w:val="257"/>
          <w:jc w:val="center"/>
        </w:trPr>
        <w:tc>
          <w:tcPr>
            <w:tcW w:w="881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93779" w:rsidRPr="00652F4F" w:rsidRDefault="00093779" w:rsidP="00093779">
            <w:pPr>
              <w:widowControl/>
              <w:spacing w:line="360" w:lineRule="atLeast"/>
              <w:ind w:left="210" w:right="-2"/>
              <w:rPr>
                <w:rFonts w:ascii="Calibri" w:eastAsia="宋体" w:hAnsi="Calibri" w:cs="宋体"/>
                <w:kern w:val="0"/>
                <w:szCs w:val="21"/>
              </w:rPr>
            </w:pPr>
            <w:r w:rsidRPr="00652F4F">
              <w:rPr>
                <w:rFonts w:ascii="FangSong_GB2312" w:eastAsia="FangSong_GB2312" w:hAnsi="Calibri" w:cs="宋体" w:hint="eastAsia"/>
                <w:kern w:val="0"/>
                <w:sz w:val="32"/>
                <w:szCs w:val="32"/>
                <w:vertAlign w:val="superscript"/>
              </w:rPr>
              <w:t>a</w:t>
            </w:r>
            <w:r w:rsidRPr="00652F4F">
              <w:rPr>
                <w:rFonts w:ascii="FangSong_GB2312" w:eastAsia="FangSong_GB2312" w:hAnsi="Calibri" w:cs="宋体" w:hint="eastAsia"/>
                <w:kern w:val="0"/>
                <w:sz w:val="32"/>
                <w:szCs w:val="32"/>
              </w:rPr>
              <w:t>N.S.为没有特别说明。</w:t>
            </w:r>
          </w:p>
        </w:tc>
      </w:tr>
    </w:tbl>
    <w:p w:rsidR="00093779" w:rsidRPr="00652F4F" w:rsidRDefault="00093779" w:rsidP="00093779">
      <w:pPr>
        <w:widowControl/>
        <w:shd w:val="clear" w:color="auto" w:fill="FFFFFF"/>
        <w:spacing w:line="440" w:lineRule="atLeast"/>
        <w:rPr>
          <w:rFonts w:ascii="Calibri" w:eastAsia="宋体" w:hAnsi="Calibri" w:cs="宋体"/>
          <w:color w:val="000000"/>
          <w:kern w:val="0"/>
          <w:szCs w:val="21"/>
        </w:rPr>
      </w:pPr>
      <w:r w:rsidRPr="00652F4F">
        <w:rPr>
          <w:rFonts w:ascii="Calibri" w:eastAsia="宋体" w:hAnsi="Calibri" w:cs="宋体"/>
          <w:color w:val="000000"/>
          <w:kern w:val="0"/>
          <w:szCs w:val="21"/>
        </w:rPr>
        <w:t> </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仿宋" w:eastAsia="仿宋" w:hAnsi="仿宋" w:cs="宋体" w:hint="eastAsia"/>
          <w:color w:val="000000"/>
          <w:kern w:val="0"/>
          <w:sz w:val="32"/>
          <w:szCs w:val="32"/>
        </w:rPr>
        <w:t xml:space="preserve">  </w:t>
      </w:r>
      <w:r w:rsidR="00093779" w:rsidRPr="00652F4F">
        <w:rPr>
          <w:rFonts w:ascii="仿宋" w:eastAsia="仿宋" w:hAnsi="仿宋" w:cs="宋体" w:hint="eastAsia"/>
          <w:color w:val="000000"/>
          <w:kern w:val="0"/>
          <w:sz w:val="32"/>
          <w:szCs w:val="32"/>
        </w:rPr>
        <w:t>参考依据：</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[1] </w:t>
      </w:r>
      <w:r w:rsidR="00093779" w:rsidRPr="00652F4F">
        <w:rPr>
          <w:rFonts w:ascii="Calibri" w:eastAsia="宋体" w:hAnsi="Calibri" w:cs="宋体"/>
          <w:color w:val="000000"/>
          <w:kern w:val="0"/>
          <w:sz w:val="28"/>
          <w:szCs w:val="28"/>
        </w:rPr>
        <w:t>顾景范，杜寿玢，郭长江主编</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现代临床营养学（第二版）</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北京</w:t>
      </w:r>
      <w:r w:rsidR="00093779" w:rsidRPr="00652F4F">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科学出版社</w:t>
      </w:r>
      <w:r w:rsidR="00093779" w:rsidRPr="00652F4F">
        <w:rPr>
          <w:rFonts w:ascii="Calibri" w:eastAsia="宋体" w:hAnsi="Calibri" w:cs="宋体"/>
          <w:color w:val="000000"/>
          <w:kern w:val="0"/>
          <w:sz w:val="28"/>
          <w:szCs w:val="28"/>
        </w:rPr>
        <w:t>, 2009, P517.</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[2] CODEX. CODEX STAN203-1995 Standard for Formula Foods for Use in Very Low Energy Diets for Weight Reduction. 1995.</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Calibri" w:eastAsia="宋体" w:hAnsi="Calibri" w:cs="宋体"/>
          <w:color w:val="000000"/>
          <w:kern w:val="0"/>
          <w:sz w:val="28"/>
          <w:szCs w:val="28"/>
        </w:rPr>
        <w:t>[3] Jeffery I. Mechanick, Robert F. Kushner, Harvey J. Sugerman, et al. American Association of Clinical Endocrinologists, The Obesity Society, and American Society for Metabolic &amp; Bariatric Surgery Medical Guidelines for Clinical Practice for the Perioperative Nutritional, Metabolic, and Nonsurgical Support of the Bariatric Surgery Patient. Endocrine Practice, 2008, 14: 1-83.</w:t>
      </w:r>
    </w:p>
    <w:p w:rsidR="00093779" w:rsidRPr="00652F4F" w:rsidRDefault="00302426" w:rsidP="00093779">
      <w:pPr>
        <w:widowControl/>
        <w:shd w:val="clear" w:color="auto" w:fill="FFFFFF"/>
        <w:spacing w:line="440" w:lineRule="atLeast"/>
        <w:rPr>
          <w:rFonts w:ascii="Calibri" w:eastAsia="宋体" w:hAnsi="Calibri" w:cs="宋体"/>
          <w:color w:val="000000"/>
          <w:kern w:val="0"/>
          <w:szCs w:val="21"/>
        </w:rPr>
      </w:pPr>
      <w:r>
        <w:rPr>
          <w:rFonts w:ascii="Calibri" w:eastAsia="宋体" w:hAnsi="Calibri" w:cs="宋体"/>
          <w:color w:val="000000"/>
          <w:kern w:val="0"/>
          <w:sz w:val="28"/>
          <w:szCs w:val="28"/>
        </w:rPr>
        <w:t xml:space="preserve">  </w:t>
      </w:r>
      <w:r w:rsidR="00093779" w:rsidRPr="00652F4F">
        <w:rPr>
          <w:rFonts w:ascii="黑体" w:eastAsia="黑体" w:hAnsi="黑体" w:cs="宋体" w:hint="eastAsia"/>
          <w:color w:val="000000"/>
          <w:kern w:val="0"/>
          <w:sz w:val="32"/>
          <w:szCs w:val="32"/>
        </w:rPr>
        <w:t>十五、问：如何理解和使用非全营养配方食品？</w:t>
      </w:r>
      <w:r w:rsidR="00093779" w:rsidRPr="00652F4F">
        <w:rPr>
          <w:rFonts w:ascii="FangSong_GB2312" w:eastAsia="FangSong_GB2312" w:hAnsi="Calibri" w:cs="宋体" w:hint="eastAsia"/>
          <w:color w:val="000000"/>
          <w:kern w:val="0"/>
          <w:sz w:val="32"/>
          <w:szCs w:val="32"/>
        </w:rPr>
        <w:t> </w:t>
      </w:r>
      <w:r w:rsidR="00093779" w:rsidRPr="00652F4F">
        <w:rPr>
          <w:rFonts w:ascii="FangSong_GB2312" w:eastAsia="FangSong_GB2312" w:hAnsi="Calibri"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FangSong_GB2312" w:eastAsia="FangSong_GB2312" w:hAnsi="Calibri" w:cs="宋体" w:hint="eastAsia"/>
          <w:color w:val="000000"/>
          <w:kern w:val="0"/>
          <w:sz w:val="32"/>
          <w:szCs w:val="32"/>
        </w:rPr>
        <w:t>答：非全营养配方食品是按照产品组成特征来进行分类的。由于非全营养配方食品不能作为单一营养来源满足目标人群的营养需求，该类产品应在医生或临床营养师的指导下，按照患者个体的特殊医学状况，与其他特殊医学用途配方食品或普通食品配合使用。</w:t>
      </w:r>
      <w:r w:rsidR="00093779" w:rsidRPr="00652F4F">
        <w:rPr>
          <w:rFonts w:ascii="FangSong_GB2312" w:eastAsia="FangSong_GB2312" w:hAnsi="Calibri" w:cs="宋体" w:hint="eastAsia"/>
          <w:color w:val="000000"/>
          <w:kern w:val="0"/>
          <w:sz w:val="32"/>
          <w:szCs w:val="32"/>
        </w:rPr>
        <w:t> </w:t>
      </w:r>
      <w:r w:rsidR="00093779" w:rsidRPr="00652F4F">
        <w:rPr>
          <w:rFonts w:ascii="FangSong_GB2312" w:eastAsia="FangSong_GB2312" w:hAnsi="Calibri"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十六、问：如何理解和使用氨基酸代谢障碍配方？</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FangSong_GB2312" w:eastAsia="FangSong_GB2312" w:hAnsi="Calibri" w:cs="宋体" w:hint="eastAsia"/>
          <w:color w:val="000000"/>
          <w:kern w:val="0"/>
          <w:sz w:val="32"/>
          <w:szCs w:val="32"/>
        </w:rPr>
        <w:t>答：氨基酸代谢障碍配方专为患有氨基酸代谢障碍疾病的人群设计。</w:t>
      </w:r>
      <w:r w:rsidR="00093779" w:rsidRPr="00652F4F">
        <w:rPr>
          <w:rFonts w:ascii="FangSong_GB2312" w:eastAsia="FangSong_GB2312" w:hAnsi="Calibri" w:cs="宋体" w:hint="eastAsia"/>
          <w:color w:val="000000"/>
          <w:kern w:val="0"/>
          <w:sz w:val="32"/>
          <w:szCs w:val="32"/>
        </w:rPr>
        <w:lastRenderedPageBreak/>
        <w:t>针对不同的氨基酸代谢疾病，配方应限制相应的氨基酸。应限制的氨基酸种类及含量应符合标准文本中表6的要求。此类配方以氨基酸为蛋白质来源，可以在配方中添加脂肪、碳水化合物、维生素、矿物质和其他成分，但由于此类配方不能作为单一营养来源满足目标人群的营养需求，故对其他营养素含量不作要求。</w:t>
      </w:r>
      <w:r w:rsidR="00093779" w:rsidRPr="00652F4F">
        <w:rPr>
          <w:rFonts w:ascii="FangSong_GB2312" w:eastAsia="FangSong_GB2312" w:hAnsi="Calibri" w:cs="宋体" w:hint="eastAsia"/>
          <w:color w:val="000000"/>
          <w:kern w:val="0"/>
          <w:sz w:val="32"/>
          <w:szCs w:val="32"/>
        </w:rPr>
        <w:t> </w:t>
      </w:r>
      <w:r w:rsidR="00093779" w:rsidRPr="00652F4F">
        <w:rPr>
          <w:rFonts w:ascii="FangSong_GB2312" w:eastAsia="FangSong_GB2312" w:hAnsi="Calibri"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十七、问：什么是“优质蛋白质”？</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FangSong_GB2312" w:eastAsia="FangSong_GB2312" w:hAnsi="Calibri" w:cs="宋体" w:hint="eastAsia"/>
          <w:color w:val="000000"/>
          <w:kern w:val="0"/>
          <w:sz w:val="32"/>
          <w:szCs w:val="32"/>
        </w:rPr>
        <w:t>答：优质蛋白质，也叫完全蛋白质，是指蛋白质中所含的必需氨基酸种类齐全、数量充足、比例适当，如动物来源的蛋白质（如乳类、蛋类、肉类等）和大豆蛋白等都属于优质蛋白质。</w:t>
      </w:r>
      <w:r w:rsidR="00093779" w:rsidRPr="00652F4F">
        <w:rPr>
          <w:rFonts w:ascii="FangSong_GB2312" w:eastAsia="FangSong_GB2312" w:hAnsi="Calibri" w:cs="宋体" w:hint="eastAsia"/>
          <w:color w:val="000000"/>
          <w:kern w:val="0"/>
          <w:sz w:val="32"/>
          <w:szCs w:val="32"/>
        </w:rPr>
        <w:t> </w:t>
      </w:r>
      <w:r w:rsidR="00093779" w:rsidRPr="00652F4F">
        <w:rPr>
          <w:rFonts w:ascii="FangSong_GB2312" w:eastAsia="FangSong_GB2312" w:hAnsi="Calibri"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十八、问：什么是血糖生成指数（GI）？</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Calibri" w:cs="宋体" w:hint="eastAsia"/>
          <w:color w:val="000000"/>
          <w:kern w:val="0"/>
          <w:sz w:val="32"/>
          <w:szCs w:val="32"/>
        </w:rPr>
        <w:t xml:space="preserve">  </w:t>
      </w:r>
      <w:r w:rsidR="00093779" w:rsidRPr="00652F4F">
        <w:rPr>
          <w:rFonts w:ascii="FangSong_GB2312" w:eastAsia="FangSong_GB2312" w:hAnsi="Calibri" w:cs="宋体" w:hint="eastAsia"/>
          <w:color w:val="000000"/>
          <w:kern w:val="0"/>
          <w:sz w:val="32"/>
          <w:szCs w:val="32"/>
        </w:rPr>
        <w:t>含50g碳水化合物的试验食品的血糖应答曲线下面积，与等量碳水化合物的标准参考物（葡萄糖或白面包）的血糖应答曲线下面积之比。计算公式如下：</w:t>
      </w:r>
    </w:p>
    <w:tbl>
      <w:tblPr>
        <w:tblW w:w="10350" w:type="dxa"/>
        <w:tblCellMar>
          <w:left w:w="0" w:type="dxa"/>
          <w:right w:w="0" w:type="dxa"/>
        </w:tblCellMar>
        <w:tblLook w:val="04A0" w:firstRow="1" w:lastRow="0" w:firstColumn="1" w:lastColumn="0" w:noHBand="0" w:noVBand="1"/>
      </w:tblPr>
      <w:tblGrid>
        <w:gridCol w:w="993"/>
        <w:gridCol w:w="8365"/>
        <w:gridCol w:w="992"/>
      </w:tblGrid>
      <w:tr w:rsidR="00093779" w:rsidRPr="00652F4F" w:rsidTr="00093779">
        <w:trPr>
          <w:trHeight w:val="694"/>
        </w:trPr>
        <w:tc>
          <w:tcPr>
            <w:tcW w:w="993" w:type="dxa"/>
            <w:vMerge w:val="restart"/>
            <w:tcMar>
              <w:top w:w="0" w:type="dxa"/>
              <w:left w:w="108" w:type="dxa"/>
              <w:bottom w:w="0" w:type="dxa"/>
              <w:right w:w="108" w:type="dxa"/>
            </w:tcMar>
            <w:vAlign w:val="center"/>
            <w:hideMark/>
          </w:tcPr>
          <w:p w:rsidR="00093779" w:rsidRPr="00652F4F" w:rsidRDefault="00093779" w:rsidP="00093779">
            <w:pPr>
              <w:widowControl/>
              <w:jc w:val="center"/>
              <w:rPr>
                <w:rFonts w:ascii="Calibri" w:eastAsia="宋体" w:hAnsi="Calibri" w:cs="宋体"/>
                <w:kern w:val="0"/>
                <w:szCs w:val="21"/>
              </w:rPr>
            </w:pPr>
            <w:r w:rsidRPr="00652F4F">
              <w:rPr>
                <w:rFonts w:ascii="FangSong_GB2312" w:eastAsia="FangSong_GB2312" w:hAnsi="Calibri" w:cs="宋体" w:hint="eastAsia"/>
                <w:kern w:val="0"/>
                <w:sz w:val="32"/>
                <w:szCs w:val="32"/>
              </w:rPr>
              <w:t>GI=</w:t>
            </w:r>
          </w:p>
        </w:tc>
        <w:tc>
          <w:tcPr>
            <w:tcW w:w="8364" w:type="dxa"/>
            <w:tcBorders>
              <w:top w:val="nil"/>
              <w:left w:val="nil"/>
              <w:bottom w:val="single" w:sz="12" w:space="0" w:color="auto"/>
              <w:right w:val="nil"/>
            </w:tcBorders>
            <w:tcMar>
              <w:top w:w="0" w:type="dxa"/>
              <w:left w:w="108" w:type="dxa"/>
              <w:bottom w:w="0" w:type="dxa"/>
              <w:right w:w="108" w:type="dxa"/>
            </w:tcMar>
            <w:vAlign w:val="center"/>
            <w:hideMark/>
          </w:tcPr>
          <w:p w:rsidR="00093779" w:rsidRPr="00652F4F" w:rsidRDefault="00093779" w:rsidP="00093779">
            <w:pPr>
              <w:widowControl/>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服含50g碳水化合物试验食品后2h内血糖曲线下的面积</w:t>
            </w:r>
          </w:p>
        </w:tc>
        <w:tc>
          <w:tcPr>
            <w:tcW w:w="992" w:type="dxa"/>
            <w:vMerge w:val="restart"/>
            <w:tcMar>
              <w:top w:w="0" w:type="dxa"/>
              <w:left w:w="108" w:type="dxa"/>
              <w:bottom w:w="0" w:type="dxa"/>
              <w:right w:w="108" w:type="dxa"/>
            </w:tcMar>
            <w:vAlign w:val="center"/>
            <w:hideMark/>
          </w:tcPr>
          <w:p w:rsidR="00093779" w:rsidRPr="00652F4F" w:rsidRDefault="00093779" w:rsidP="00093779">
            <w:pPr>
              <w:widowControl/>
              <w:jc w:val="center"/>
              <w:rPr>
                <w:rFonts w:ascii="Calibri" w:eastAsia="宋体" w:hAnsi="Calibri" w:cs="宋体"/>
                <w:kern w:val="0"/>
                <w:szCs w:val="21"/>
              </w:rPr>
            </w:pPr>
            <w:r w:rsidRPr="00652F4F">
              <w:rPr>
                <w:rFonts w:ascii="FangSong_GB2312" w:eastAsia="FangSong_GB2312" w:hAnsi="Calibri" w:cs="宋体" w:hint="eastAsia"/>
                <w:kern w:val="0"/>
                <w:sz w:val="32"/>
                <w:szCs w:val="32"/>
              </w:rPr>
              <w:t>×100</w:t>
            </w:r>
          </w:p>
        </w:tc>
      </w:tr>
      <w:tr w:rsidR="00093779" w:rsidRPr="00652F4F" w:rsidTr="00093779">
        <w:trPr>
          <w:trHeight w:val="826"/>
        </w:trPr>
        <w:tc>
          <w:tcPr>
            <w:tcW w:w="0" w:type="auto"/>
            <w:vMerge/>
            <w:vAlign w:val="center"/>
            <w:hideMark/>
          </w:tcPr>
          <w:p w:rsidR="00093779" w:rsidRPr="00652F4F" w:rsidRDefault="00093779" w:rsidP="00093779">
            <w:pPr>
              <w:widowControl/>
              <w:jc w:val="left"/>
              <w:rPr>
                <w:rFonts w:ascii="Calibri" w:eastAsia="宋体" w:hAnsi="Calibri" w:cs="宋体"/>
                <w:kern w:val="0"/>
                <w:szCs w:val="21"/>
              </w:rPr>
            </w:pPr>
          </w:p>
        </w:tc>
        <w:tc>
          <w:tcPr>
            <w:tcW w:w="8364" w:type="dxa"/>
            <w:tcBorders>
              <w:top w:val="nil"/>
              <w:left w:val="nil"/>
              <w:bottom w:val="nil"/>
              <w:right w:val="nil"/>
            </w:tcBorders>
            <w:tcMar>
              <w:top w:w="0" w:type="dxa"/>
              <w:left w:w="108" w:type="dxa"/>
              <w:bottom w:w="0" w:type="dxa"/>
              <w:right w:w="108" w:type="dxa"/>
            </w:tcMar>
            <w:vAlign w:val="center"/>
            <w:hideMark/>
          </w:tcPr>
          <w:p w:rsidR="00093779" w:rsidRPr="00652F4F" w:rsidRDefault="00093779" w:rsidP="00093779">
            <w:pPr>
              <w:widowControl/>
              <w:jc w:val="center"/>
              <w:rPr>
                <w:rFonts w:ascii="Calibri" w:eastAsia="宋体" w:hAnsi="Calibri" w:cs="宋体"/>
                <w:kern w:val="0"/>
                <w:szCs w:val="21"/>
              </w:rPr>
            </w:pPr>
            <w:r w:rsidRPr="00652F4F">
              <w:rPr>
                <w:rFonts w:ascii="FangSong_GB2312" w:eastAsia="FangSong_GB2312" w:hAnsi="Calibri" w:cs="宋体" w:hint="eastAsia"/>
                <w:kern w:val="0"/>
                <w:sz w:val="32"/>
                <w:szCs w:val="32"/>
              </w:rPr>
              <w:t>服50g葡萄糖或白面包后2h内血糖曲线下的面积</w:t>
            </w:r>
          </w:p>
        </w:tc>
        <w:tc>
          <w:tcPr>
            <w:tcW w:w="0" w:type="auto"/>
            <w:vMerge/>
            <w:vAlign w:val="center"/>
            <w:hideMark/>
          </w:tcPr>
          <w:p w:rsidR="00093779" w:rsidRPr="00652F4F" w:rsidRDefault="00093779" w:rsidP="00093779">
            <w:pPr>
              <w:widowControl/>
              <w:jc w:val="left"/>
              <w:rPr>
                <w:rFonts w:ascii="Calibri" w:eastAsia="宋体" w:hAnsi="Calibri" w:cs="宋体"/>
                <w:kern w:val="0"/>
                <w:szCs w:val="21"/>
              </w:rPr>
            </w:pPr>
          </w:p>
        </w:tc>
      </w:tr>
    </w:tbl>
    <w:p w:rsidR="00093779" w:rsidRPr="00652F4F" w:rsidRDefault="00302426" w:rsidP="00093779">
      <w:pPr>
        <w:widowControl/>
        <w:shd w:val="clear" w:color="auto" w:fill="FFFFFF"/>
        <w:jc w:val="left"/>
        <w:rPr>
          <w:rFonts w:ascii="Simsun" w:eastAsia="宋体" w:hAnsi="Simsun" w:cs="宋体" w:hint="eastAsia"/>
          <w:color w:val="000000"/>
          <w:kern w:val="0"/>
          <w:szCs w:val="21"/>
        </w:rPr>
      </w:pP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通常定义GI≤55为低GI食物，55-70为中GI食物，≥70为高GI食物。GI值仅为临床指导指标值，而非质量控制指标。</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十九、问：什么是“中链甘油三酯（MCT）”？</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答：中链甘油三酯（Medium Chain Triglyceride，MCT）是指含8到12个碳原子的中链脂肪，天然存在于棕榈仁油、椰子油等食品和母乳中，是膳食脂肪的来源之一。与长链脂肪酸甘油三酯相比，MCT分子量小，水解速度快，更容易被人体消化、吸收和代谢。</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lastRenderedPageBreak/>
        <w:t xml:space="preserve">  </w:t>
      </w:r>
      <w:r w:rsidR="00093779" w:rsidRPr="00652F4F">
        <w:rPr>
          <w:rFonts w:ascii="黑体" w:eastAsia="黑体" w:hAnsi="黑体" w:cs="宋体" w:hint="eastAsia"/>
          <w:color w:val="000000"/>
          <w:kern w:val="0"/>
          <w:sz w:val="32"/>
          <w:szCs w:val="32"/>
        </w:rPr>
        <w:t>二十、问：污染物、真菌毒素、微生物限量要求的制定原则是什么？</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由于我国相关基础标准（如污染物限量、真菌毒素限量、致病菌限量）中尚无特殊医学用途配方食品的分类，为严格管理这类食品、最大限度保护适宜人群健康，标准参考国外经验，参考我国婴幼儿配方食品的指标要求（污染物限量、真菌毒素限量、微生物限量等），制定了特殊医学用途配方食品中各项限量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其中对于铅的要求，适用于1-10岁人群的产品参考《食品中污染物限量》（GB2762-2012）中婴幼儿配方食品的铅限量要求，适用于10岁以上人群的产品，参考GB2760-2012中乳粉的铅的限量要求，并在标准中明确“以固态产品计”。</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二十一、问：如何理解“适用于10岁以上人群的产品中食品添加剂的使用可参照GB 2760中相同或相近产品中允许使用的添加剂种类和使用量”？</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答：特殊医学用途配方食品的基质比较复杂，产品涵盖液态、固态、半固态等多种形态，本标准规定“适用于10岁以上人群的产品中食品添加剂的使用可参照GB 2760中相同或相近产品中允许使用的添加剂种类和使用量”。相同或相近产品是指与特殊医学用途配方食品的主要原料、产品形态或加工工艺相同或者相近的产品。例如，某种特殊医学用途配方食品与乳及乳制品类产品相同或相近，则可以使用GB 2760附录“食品分类系统”中“01.0乳及乳制品”及其子类中允许使用的食品添加剂；如果某种特殊医学用途配方食品与饮料类产品相似，则可以使用“14.0饮料类”及其子类中允许使用的食品添加剂；如果</w:t>
      </w:r>
      <w:r w:rsidR="00093779" w:rsidRPr="00652F4F">
        <w:rPr>
          <w:rFonts w:ascii="FangSong_GB2312" w:eastAsia="FangSong_GB2312" w:hAnsi="Simsun" w:cs="宋体" w:hint="eastAsia"/>
          <w:color w:val="000000"/>
          <w:kern w:val="0"/>
          <w:sz w:val="32"/>
          <w:szCs w:val="32"/>
        </w:rPr>
        <w:lastRenderedPageBreak/>
        <w:t>某种特殊医学用途配方食品与糖果、饼干或果冻较为相似，则可以使用相应类别食品中允许使用的添加剂。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由于特殊医学用途配方食品目标人群的特殊性，企业应结合临床实际，在保障产品工艺必要性的前提下，慎重使用食品添加剂。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二十二、问：如何理解“营养强化剂的使用应符合GB 14880的规定”？</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答：特殊医学用途配方食品中使用营养强化剂，其化合物来源应按照GB 14880中表C.1和国家相关规定执行，核苷酸和膳食纤维的化合物来源应按照表C.2中的规定，其使用量应符合本标准要求。</w:t>
      </w:r>
      <w:r w:rsidR="00093779" w:rsidRPr="00652F4F">
        <w:rPr>
          <w:rFonts w:ascii="FangSong_GB2312" w:eastAsia="FangSong_GB2312" w:hAnsi="Simsun" w:cs="宋体" w:hint="eastAsia"/>
          <w:color w:val="000000"/>
          <w:kern w:val="0"/>
          <w:sz w:val="32"/>
          <w:szCs w:val="32"/>
        </w:rPr>
        <w:t> </w:t>
      </w:r>
      <w:r w:rsidR="00093779" w:rsidRPr="00652F4F">
        <w:rPr>
          <w:rFonts w:ascii="FangSong_GB2312" w:eastAsia="FangSong_GB2312" w:hAnsi="Simsun"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黑体" w:eastAsia="黑体" w:hAnsi="黑体" w:cs="宋体" w:hint="eastAsia"/>
          <w:color w:val="000000"/>
          <w:kern w:val="0"/>
          <w:sz w:val="32"/>
          <w:szCs w:val="32"/>
        </w:rPr>
        <w:t>二十三、问：如何理解特殊医学用途配方食品“标签中应对产品的配方特点或营养学特征进行描述”？</w:t>
      </w:r>
      <w:r w:rsidR="00093779" w:rsidRPr="00652F4F">
        <w:rPr>
          <w:rFonts w:ascii="宋体" w:eastAsia="宋体" w:hAnsi="宋体" w:cs="宋体" w:hint="eastAsia"/>
          <w:color w:val="000000"/>
          <w:kern w:val="0"/>
          <w:sz w:val="32"/>
          <w:szCs w:val="32"/>
        </w:rPr>
        <w:t> </w:t>
      </w:r>
      <w:r w:rsidR="00093779" w:rsidRPr="00652F4F">
        <w:rPr>
          <w:rFonts w:ascii="黑体" w:eastAsia="黑体" w:hAnsi="黑体" w:cs="宋体" w:hint="eastAsia"/>
          <w:color w:val="000000"/>
          <w:kern w:val="0"/>
          <w:sz w:val="32"/>
          <w:szCs w:val="32"/>
        </w:rPr>
        <w:br/>
      </w: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答：特殊医学用途配方食品的标签应符合GB 13432和产品标准中对标签的特殊要求，同时特殊医学用途配方食品应在标签中对产品的配方特点、配方原理或营养学特征进行描述或说明，包括对产品与适用人群疾病或医学状况的说明、产品中能量和营养成分的特征描述、配方原理的解释等，其目的是便于医生或临床营养师指导患者正确使用。配方特点或营养学特征描述应客观、清晰，不应对使用者造成误解。</w:t>
      </w:r>
    </w:p>
    <w:p w:rsidR="00093779" w:rsidRPr="00652F4F" w:rsidRDefault="00093779" w:rsidP="00093779">
      <w:pPr>
        <w:widowControl/>
        <w:shd w:val="clear" w:color="auto" w:fill="FFFFFF"/>
        <w:rPr>
          <w:rFonts w:ascii="FangSong_GB2312" w:eastAsia="FangSong_GB2312" w:hAnsi="Simsun" w:cs="宋体" w:hint="eastAsia"/>
          <w:color w:val="000000"/>
          <w:kern w:val="0"/>
          <w:sz w:val="32"/>
          <w:szCs w:val="32"/>
        </w:rPr>
      </w:pPr>
      <w:r w:rsidRPr="00652F4F">
        <w:rPr>
          <w:rFonts w:ascii="FangSong_GB2312" w:eastAsia="FangSong_GB2312" w:hAnsi="Simsun" w:cs="宋体" w:hint="eastAsia"/>
          <w:color w:val="000000"/>
          <w:kern w:val="0"/>
          <w:sz w:val="32"/>
          <w:szCs w:val="32"/>
        </w:rPr>
        <w:t> </w:t>
      </w:r>
      <w:bookmarkStart w:id="0" w:name="_GoBack"/>
      <w:bookmarkEnd w:id="0"/>
    </w:p>
    <w:p w:rsidR="00093779" w:rsidRPr="00652F4F" w:rsidRDefault="00302426" w:rsidP="00093779">
      <w:pPr>
        <w:widowControl/>
        <w:shd w:val="clear" w:color="auto" w:fill="FFFFFF"/>
        <w:rPr>
          <w:rFonts w:ascii="FangSong_GB2312" w:eastAsia="FangSong_GB2312" w:hAnsi="Simsun" w:cs="宋体" w:hint="eastAsia"/>
          <w:color w:val="000000"/>
          <w:kern w:val="0"/>
          <w:sz w:val="32"/>
          <w:szCs w:val="32"/>
        </w:rPr>
      </w:pPr>
      <w:r>
        <w:rPr>
          <w:rFonts w:ascii="FangSong_GB2312" w:eastAsia="FangSong_GB2312" w:hAnsi="Simsun" w:cs="宋体" w:hint="eastAsia"/>
          <w:color w:val="000000"/>
          <w:kern w:val="0"/>
          <w:sz w:val="32"/>
          <w:szCs w:val="32"/>
        </w:rPr>
        <w:t xml:space="preserve">  </w:t>
      </w:r>
      <w:r w:rsidR="00093779" w:rsidRPr="00652F4F">
        <w:rPr>
          <w:rFonts w:ascii="FangSong_GB2312" w:eastAsia="FangSong_GB2312" w:hAnsi="Simsun" w:cs="宋体" w:hint="eastAsia"/>
          <w:color w:val="000000"/>
          <w:kern w:val="0"/>
          <w:sz w:val="32"/>
          <w:szCs w:val="32"/>
        </w:rPr>
        <w:t>相关链接：</w:t>
      </w:r>
      <w:hyperlink r:id="rId7" w:tgtFrame="_blank" w:history="1">
        <w:r w:rsidR="00093779" w:rsidRPr="00652F4F">
          <w:rPr>
            <w:rFonts w:ascii="FangSong_GB2312" w:eastAsia="FangSong_GB2312" w:hAnsi="Simsun" w:cs="宋体" w:hint="eastAsia"/>
            <w:color w:val="333333"/>
            <w:kern w:val="0"/>
            <w:sz w:val="32"/>
            <w:szCs w:val="32"/>
            <w:u w:val="single"/>
          </w:rPr>
          <w:t>GB29922-2013 特殊医学用途配方食品通则.pdf</w:t>
        </w:r>
      </w:hyperlink>
    </w:p>
    <w:p w:rsidR="00093779" w:rsidRPr="00652F4F" w:rsidRDefault="00093779" w:rsidP="00093779">
      <w:pPr>
        <w:widowControl/>
        <w:shd w:val="clear" w:color="auto" w:fill="DDDDDD"/>
        <w:spacing w:line="435" w:lineRule="atLeast"/>
        <w:jc w:val="left"/>
        <w:rPr>
          <w:rFonts w:ascii="Simsun" w:eastAsia="宋体" w:hAnsi="Simsun" w:cs="宋体" w:hint="eastAsia"/>
          <w:b/>
          <w:bCs/>
          <w:color w:val="000000"/>
          <w:kern w:val="0"/>
          <w:szCs w:val="21"/>
        </w:rPr>
      </w:pPr>
      <w:r w:rsidRPr="00652F4F">
        <w:rPr>
          <w:rFonts w:ascii="Simsun" w:eastAsia="宋体" w:hAnsi="Simsun" w:cs="宋体"/>
          <w:b/>
          <w:bCs/>
          <w:color w:val="000000"/>
          <w:kern w:val="0"/>
          <w:szCs w:val="21"/>
        </w:rPr>
        <w:t>相关链接</w:t>
      </w:r>
    </w:p>
    <w:p w:rsidR="00093779" w:rsidRPr="00652F4F" w:rsidRDefault="00E27F69" w:rsidP="00093779">
      <w:pPr>
        <w:widowControl/>
        <w:shd w:val="clear" w:color="auto" w:fill="0F6298"/>
        <w:spacing w:line="570" w:lineRule="atLeast"/>
        <w:jc w:val="center"/>
        <w:rPr>
          <w:rFonts w:ascii="Simsun" w:eastAsia="宋体" w:hAnsi="Simsun" w:cs="宋体" w:hint="eastAsia"/>
          <w:b/>
          <w:bCs/>
          <w:color w:val="FFFFFF"/>
          <w:kern w:val="0"/>
          <w:sz w:val="18"/>
          <w:szCs w:val="18"/>
        </w:rPr>
      </w:pPr>
      <w:hyperlink r:id="rId8" w:tgtFrame="_blank" w:history="1">
        <w:r w:rsidR="00093779" w:rsidRPr="00652F4F">
          <w:rPr>
            <w:rFonts w:ascii="Simsun" w:eastAsia="宋体" w:hAnsi="Simsun" w:cs="宋体"/>
            <w:b/>
            <w:bCs/>
            <w:color w:val="FFFFFF"/>
            <w:kern w:val="0"/>
            <w:sz w:val="18"/>
            <w:szCs w:val="18"/>
            <w:u w:val="single"/>
          </w:rPr>
          <w:t>联系我们</w:t>
        </w:r>
      </w:hyperlink>
      <w:r w:rsidR="00093779" w:rsidRPr="00652F4F">
        <w:rPr>
          <w:rFonts w:ascii="Simsun" w:eastAsia="宋体" w:hAnsi="Simsun" w:cs="宋体"/>
          <w:b/>
          <w:bCs/>
          <w:color w:val="FFFFFF"/>
          <w:kern w:val="0"/>
          <w:sz w:val="18"/>
          <w:szCs w:val="18"/>
        </w:rPr>
        <w:t>|</w:t>
      </w:r>
      <w:hyperlink r:id="rId9" w:tgtFrame="_blank" w:history="1">
        <w:r w:rsidR="00093779" w:rsidRPr="00652F4F">
          <w:rPr>
            <w:rFonts w:ascii="Simsun" w:eastAsia="宋体" w:hAnsi="Simsun" w:cs="宋体"/>
            <w:b/>
            <w:bCs/>
            <w:color w:val="FFFFFF"/>
            <w:kern w:val="0"/>
            <w:sz w:val="18"/>
            <w:szCs w:val="18"/>
            <w:u w:val="single"/>
          </w:rPr>
          <w:t>网站地图</w:t>
        </w:r>
      </w:hyperlink>
      <w:r w:rsidR="00093779" w:rsidRPr="00652F4F">
        <w:rPr>
          <w:rFonts w:ascii="Simsun" w:eastAsia="宋体" w:hAnsi="Simsun" w:cs="宋体"/>
          <w:b/>
          <w:bCs/>
          <w:color w:val="FFFFFF"/>
          <w:kern w:val="0"/>
          <w:sz w:val="18"/>
          <w:szCs w:val="18"/>
        </w:rPr>
        <w:t>|</w:t>
      </w:r>
    </w:p>
    <w:p w:rsidR="00093779" w:rsidRPr="00652F4F" w:rsidRDefault="00093779" w:rsidP="00093779">
      <w:pPr>
        <w:widowControl/>
        <w:spacing w:line="360" w:lineRule="atLeast"/>
        <w:jc w:val="center"/>
        <w:rPr>
          <w:rFonts w:ascii="Simsun" w:eastAsia="宋体" w:hAnsi="Simsun" w:cs="宋体" w:hint="eastAsia"/>
          <w:color w:val="999999"/>
          <w:kern w:val="0"/>
          <w:sz w:val="18"/>
          <w:szCs w:val="18"/>
        </w:rPr>
      </w:pPr>
      <w:r w:rsidRPr="00652F4F">
        <w:rPr>
          <w:rFonts w:ascii="Simsun" w:eastAsia="宋体" w:hAnsi="Simsun" w:cs="宋体" w:hint="eastAsia"/>
          <w:noProof/>
          <w:color w:val="333333"/>
          <w:kern w:val="0"/>
          <w:sz w:val="18"/>
          <w:szCs w:val="18"/>
        </w:rPr>
        <w:lastRenderedPageBreak/>
        <w:drawing>
          <wp:inline distT="0" distB="0" distL="0" distR="0">
            <wp:extent cx="762000" cy="762000"/>
            <wp:effectExtent l="0" t="0" r="0" b="0"/>
            <wp:docPr id="2" name="图片 2" descr="http://dcs.conac.cn/image/red.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ac" descr="http://dcs.conac.cn/image/red.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093779" w:rsidRPr="00652F4F" w:rsidRDefault="00093779" w:rsidP="00093779">
      <w:pPr>
        <w:widowControl/>
        <w:spacing w:line="360" w:lineRule="atLeast"/>
        <w:jc w:val="center"/>
        <w:rPr>
          <w:rFonts w:ascii="Simsun" w:eastAsia="宋体" w:hAnsi="Simsun" w:cs="宋体" w:hint="eastAsia"/>
          <w:color w:val="999999"/>
          <w:kern w:val="0"/>
          <w:sz w:val="18"/>
          <w:szCs w:val="18"/>
        </w:rPr>
      </w:pPr>
      <w:r w:rsidRPr="00652F4F">
        <w:rPr>
          <w:rFonts w:ascii="Simsun" w:eastAsia="宋体" w:hAnsi="Simsun" w:cs="宋体"/>
          <w:color w:val="999999"/>
          <w:kern w:val="0"/>
          <w:sz w:val="18"/>
          <w:szCs w:val="18"/>
        </w:rPr>
        <w:t>地址：北京市西城区西直门外南路</w:t>
      </w:r>
      <w:r w:rsidRPr="00652F4F">
        <w:rPr>
          <w:rFonts w:ascii="Simsun" w:eastAsia="宋体" w:hAnsi="Simsun" w:cs="宋体"/>
          <w:color w:val="999999"/>
          <w:kern w:val="0"/>
          <w:sz w:val="18"/>
          <w:szCs w:val="18"/>
        </w:rPr>
        <w:t>1</w:t>
      </w:r>
      <w:r w:rsidRPr="00652F4F">
        <w:rPr>
          <w:rFonts w:ascii="Simsun" w:eastAsia="宋体" w:hAnsi="Simsun" w:cs="宋体"/>
          <w:color w:val="999999"/>
          <w:kern w:val="0"/>
          <w:sz w:val="18"/>
          <w:szCs w:val="18"/>
        </w:rPr>
        <w:t>号　邮编：</w:t>
      </w:r>
      <w:r w:rsidRPr="00652F4F">
        <w:rPr>
          <w:rFonts w:ascii="Simsun" w:eastAsia="宋体" w:hAnsi="Simsun" w:cs="宋体"/>
          <w:color w:val="999999"/>
          <w:kern w:val="0"/>
          <w:sz w:val="18"/>
          <w:szCs w:val="18"/>
        </w:rPr>
        <w:t>100044</w:t>
      </w:r>
      <w:r w:rsidRPr="00652F4F">
        <w:rPr>
          <w:rFonts w:ascii="Simsun" w:eastAsia="宋体" w:hAnsi="Simsun" w:cs="宋体"/>
          <w:color w:val="999999"/>
          <w:kern w:val="0"/>
          <w:sz w:val="18"/>
          <w:szCs w:val="18"/>
        </w:rPr>
        <w:t xml:space="preserve">　</w:t>
      </w:r>
      <w:r w:rsidRPr="00652F4F">
        <w:rPr>
          <w:rFonts w:ascii="Simsun" w:eastAsia="宋体" w:hAnsi="Simsun" w:cs="宋体"/>
          <w:color w:val="999999"/>
          <w:kern w:val="0"/>
          <w:sz w:val="18"/>
          <w:szCs w:val="18"/>
        </w:rPr>
        <w:t xml:space="preserve"> </w:t>
      </w:r>
      <w:r w:rsidRPr="00652F4F">
        <w:rPr>
          <w:rFonts w:ascii="Simsun" w:eastAsia="宋体" w:hAnsi="Simsun" w:cs="宋体"/>
          <w:color w:val="999999"/>
          <w:kern w:val="0"/>
          <w:sz w:val="18"/>
          <w:szCs w:val="18"/>
        </w:rPr>
        <w:t>信箱：</w:t>
      </w:r>
      <w:r w:rsidRPr="00652F4F">
        <w:rPr>
          <w:rFonts w:ascii="Simsun" w:eastAsia="宋体" w:hAnsi="Simsun" w:cs="宋体" w:hint="eastAsia"/>
          <w:noProof/>
          <w:color w:val="333333"/>
          <w:kern w:val="0"/>
          <w:sz w:val="18"/>
          <w:szCs w:val="18"/>
        </w:rPr>
        <w:drawing>
          <wp:inline distT="0" distB="0" distL="0" distR="0">
            <wp:extent cx="180975" cy="104775"/>
            <wp:effectExtent l="0" t="0" r="9525" b="9525"/>
            <wp:docPr id="1" name="图片 1" descr="http://www.nhfpc.gov.cn/zhuzhan/xhtml/images/banquan03.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nhfpc.gov.cn/zhuzhan/xhtml/images/banquan03.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104775"/>
                    </a:xfrm>
                    <a:prstGeom prst="rect">
                      <a:avLst/>
                    </a:prstGeom>
                    <a:noFill/>
                    <a:ln>
                      <a:noFill/>
                    </a:ln>
                  </pic:spPr>
                </pic:pic>
              </a:graphicData>
            </a:graphic>
          </wp:inline>
        </w:drawing>
      </w:r>
      <w:r w:rsidRPr="00652F4F">
        <w:rPr>
          <w:rFonts w:ascii="Simsun" w:eastAsia="宋体" w:hAnsi="Simsun" w:cs="宋体"/>
          <w:color w:val="999999"/>
          <w:kern w:val="0"/>
          <w:sz w:val="18"/>
          <w:szCs w:val="18"/>
        </w:rPr>
        <w:t xml:space="preserve">　电话：</w:t>
      </w:r>
      <w:r w:rsidRPr="00652F4F">
        <w:rPr>
          <w:rFonts w:ascii="Simsun" w:eastAsia="宋体" w:hAnsi="Simsun" w:cs="宋体"/>
          <w:color w:val="999999"/>
          <w:kern w:val="0"/>
          <w:sz w:val="18"/>
          <w:szCs w:val="18"/>
        </w:rPr>
        <w:t>010-68792114</w:t>
      </w:r>
    </w:p>
    <w:p w:rsidR="00093779" w:rsidRPr="00093779" w:rsidRDefault="00093779" w:rsidP="00093779">
      <w:pPr>
        <w:widowControl/>
        <w:spacing w:line="360" w:lineRule="atLeast"/>
        <w:jc w:val="center"/>
        <w:rPr>
          <w:rFonts w:ascii="Simsun" w:eastAsia="宋体" w:hAnsi="Simsun" w:cs="宋体" w:hint="eastAsia"/>
          <w:color w:val="999999"/>
          <w:kern w:val="0"/>
          <w:sz w:val="18"/>
          <w:szCs w:val="18"/>
        </w:rPr>
      </w:pPr>
      <w:r w:rsidRPr="00652F4F">
        <w:rPr>
          <w:rFonts w:ascii="Simsun" w:eastAsia="宋体" w:hAnsi="Simsun" w:cs="宋体"/>
          <w:color w:val="999999"/>
          <w:kern w:val="0"/>
          <w:sz w:val="18"/>
          <w:szCs w:val="18"/>
        </w:rPr>
        <w:t>中华人民共和国国家卫生和计划生育委员会版权所有，不得非法镜像．</w:t>
      </w:r>
      <w:r w:rsidRPr="00652F4F">
        <w:rPr>
          <w:rFonts w:ascii="Simsun" w:eastAsia="宋体" w:hAnsi="Simsun" w:cs="宋体"/>
          <w:color w:val="999999"/>
          <w:kern w:val="0"/>
          <w:sz w:val="18"/>
          <w:szCs w:val="18"/>
        </w:rPr>
        <w:t xml:space="preserve"> </w:t>
      </w:r>
      <w:r w:rsidRPr="00652F4F">
        <w:rPr>
          <w:rFonts w:ascii="Simsun" w:eastAsia="宋体" w:hAnsi="Simsun" w:cs="宋体"/>
          <w:color w:val="999999"/>
          <w:kern w:val="0"/>
          <w:sz w:val="18"/>
          <w:szCs w:val="18"/>
        </w:rPr>
        <w:t>技术支持</w:t>
      </w:r>
      <w:r w:rsidRPr="00652F4F">
        <w:rPr>
          <w:rFonts w:ascii="Simsun" w:eastAsia="宋体" w:hAnsi="Simsun" w:cs="宋体"/>
          <w:color w:val="999999"/>
          <w:kern w:val="0"/>
          <w:sz w:val="18"/>
          <w:szCs w:val="18"/>
        </w:rPr>
        <w:t>:</w:t>
      </w:r>
      <w:r w:rsidRPr="00652F4F">
        <w:rPr>
          <w:rFonts w:ascii="Simsun" w:eastAsia="宋体" w:hAnsi="Simsun" w:cs="宋体"/>
          <w:color w:val="999999"/>
          <w:kern w:val="0"/>
          <w:sz w:val="18"/>
          <w:szCs w:val="18"/>
        </w:rPr>
        <w:t>国家卫生计生委统计信息中心</w:t>
      </w:r>
    </w:p>
    <w:p w:rsidR="00876EFB" w:rsidRPr="00093779" w:rsidRDefault="00876EFB"/>
    <w:sectPr w:rsidR="00876EFB" w:rsidRPr="00093779" w:rsidSect="0009377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F69" w:rsidRDefault="00E27F69" w:rsidP="00620AB4">
      <w:r>
        <w:separator/>
      </w:r>
    </w:p>
  </w:endnote>
  <w:endnote w:type="continuationSeparator" w:id="0">
    <w:p w:rsidR="00E27F69" w:rsidRDefault="00E27F69" w:rsidP="0062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FangSong_GB2312">
    <w:altName w:val="仿宋"/>
    <w:panose1 w:val="02010609060101010101"/>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F69" w:rsidRDefault="00E27F69" w:rsidP="00620AB4">
      <w:r>
        <w:separator/>
      </w:r>
    </w:p>
  </w:footnote>
  <w:footnote w:type="continuationSeparator" w:id="0">
    <w:p w:rsidR="00E27F69" w:rsidRDefault="00E27F69" w:rsidP="0062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32C6"/>
    <w:multiLevelType w:val="multilevel"/>
    <w:tmpl w:val="024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DE"/>
    <w:rsid w:val="00000F4C"/>
    <w:rsid w:val="00010420"/>
    <w:rsid w:val="00093779"/>
    <w:rsid w:val="00181A98"/>
    <w:rsid w:val="001F0984"/>
    <w:rsid w:val="001F76F1"/>
    <w:rsid w:val="00230B52"/>
    <w:rsid w:val="00250BA1"/>
    <w:rsid w:val="00260E8D"/>
    <w:rsid w:val="002B245B"/>
    <w:rsid w:val="00302426"/>
    <w:rsid w:val="003840DE"/>
    <w:rsid w:val="003D1CAC"/>
    <w:rsid w:val="003E486F"/>
    <w:rsid w:val="004D0B6E"/>
    <w:rsid w:val="00586CB5"/>
    <w:rsid w:val="005D7B8B"/>
    <w:rsid w:val="00620AB4"/>
    <w:rsid w:val="00652F4F"/>
    <w:rsid w:val="006B22A7"/>
    <w:rsid w:val="00876EFB"/>
    <w:rsid w:val="009F1085"/>
    <w:rsid w:val="00B65084"/>
    <w:rsid w:val="00C44FB8"/>
    <w:rsid w:val="00D14215"/>
    <w:rsid w:val="00D6725C"/>
    <w:rsid w:val="00D95C1E"/>
    <w:rsid w:val="00E27F69"/>
    <w:rsid w:val="00E56B65"/>
    <w:rsid w:val="00F66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037D9-F242-45D0-B100-A3050E9A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779"/>
    <w:rPr>
      <w:color w:val="0000FF"/>
      <w:u w:val="single"/>
    </w:rPr>
  </w:style>
  <w:style w:type="character" w:customStyle="1" w:styleId="apple-converted-space">
    <w:name w:val="apple-converted-space"/>
    <w:basedOn w:val="a0"/>
    <w:rsid w:val="00093779"/>
  </w:style>
  <w:style w:type="paragraph" w:styleId="a4">
    <w:name w:val="Normal (Web)"/>
    <w:basedOn w:val="a"/>
    <w:uiPriority w:val="99"/>
    <w:unhideWhenUsed/>
    <w:rsid w:val="0009377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093779"/>
    <w:rPr>
      <w:sz w:val="18"/>
      <w:szCs w:val="18"/>
    </w:rPr>
  </w:style>
  <w:style w:type="character" w:customStyle="1" w:styleId="Char">
    <w:name w:val="批注框文本 Char"/>
    <w:basedOn w:val="a0"/>
    <w:link w:val="a5"/>
    <w:uiPriority w:val="99"/>
    <w:semiHidden/>
    <w:rsid w:val="00093779"/>
    <w:rPr>
      <w:sz w:val="18"/>
      <w:szCs w:val="18"/>
    </w:rPr>
  </w:style>
  <w:style w:type="paragraph" w:styleId="a6">
    <w:name w:val="header"/>
    <w:basedOn w:val="a"/>
    <w:link w:val="Char0"/>
    <w:uiPriority w:val="99"/>
    <w:unhideWhenUsed/>
    <w:rsid w:val="00620A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620AB4"/>
    <w:rPr>
      <w:sz w:val="18"/>
      <w:szCs w:val="18"/>
    </w:rPr>
  </w:style>
  <w:style w:type="paragraph" w:styleId="a7">
    <w:name w:val="footer"/>
    <w:basedOn w:val="a"/>
    <w:link w:val="Char1"/>
    <w:uiPriority w:val="99"/>
    <w:unhideWhenUsed/>
    <w:rsid w:val="00620AB4"/>
    <w:pPr>
      <w:tabs>
        <w:tab w:val="center" w:pos="4153"/>
        <w:tab w:val="right" w:pos="8306"/>
      </w:tabs>
      <w:snapToGrid w:val="0"/>
      <w:jc w:val="left"/>
    </w:pPr>
    <w:rPr>
      <w:sz w:val="18"/>
      <w:szCs w:val="18"/>
    </w:rPr>
  </w:style>
  <w:style w:type="character" w:customStyle="1" w:styleId="Char1">
    <w:name w:val="页脚 Char"/>
    <w:basedOn w:val="a0"/>
    <w:link w:val="a7"/>
    <w:uiPriority w:val="99"/>
    <w:rsid w:val="00620A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9925">
      <w:bodyDiv w:val="1"/>
      <w:marLeft w:val="0"/>
      <w:marRight w:val="0"/>
      <w:marTop w:val="0"/>
      <w:marBottom w:val="0"/>
      <w:divBdr>
        <w:top w:val="none" w:sz="0" w:space="0" w:color="auto"/>
        <w:left w:val="none" w:sz="0" w:space="0" w:color="auto"/>
        <w:bottom w:val="none" w:sz="0" w:space="0" w:color="auto"/>
        <w:right w:val="none" w:sz="0" w:space="0" w:color="auto"/>
      </w:divBdr>
    </w:div>
    <w:div w:id="1698044403">
      <w:bodyDiv w:val="1"/>
      <w:marLeft w:val="0"/>
      <w:marRight w:val="0"/>
      <w:marTop w:val="0"/>
      <w:marBottom w:val="0"/>
      <w:divBdr>
        <w:top w:val="none" w:sz="0" w:space="0" w:color="auto"/>
        <w:left w:val="none" w:sz="0" w:space="0" w:color="auto"/>
        <w:bottom w:val="none" w:sz="0" w:space="0" w:color="auto"/>
        <w:right w:val="none" w:sz="0" w:space="0" w:color="auto"/>
      </w:divBdr>
      <w:divsChild>
        <w:div w:id="655307813">
          <w:marLeft w:val="0"/>
          <w:marRight w:val="0"/>
          <w:marTop w:val="0"/>
          <w:marBottom w:val="0"/>
          <w:divBdr>
            <w:top w:val="none" w:sz="0" w:space="0" w:color="auto"/>
            <w:left w:val="none" w:sz="0" w:space="0" w:color="auto"/>
            <w:bottom w:val="none" w:sz="0" w:space="0" w:color="auto"/>
            <w:right w:val="none" w:sz="0" w:space="0" w:color="auto"/>
          </w:divBdr>
          <w:divsChild>
            <w:div w:id="172108273">
              <w:marLeft w:val="0"/>
              <w:marRight w:val="0"/>
              <w:marTop w:val="150"/>
              <w:marBottom w:val="0"/>
              <w:divBdr>
                <w:top w:val="none" w:sz="0" w:space="0" w:color="auto"/>
                <w:left w:val="none" w:sz="0" w:space="0" w:color="auto"/>
                <w:bottom w:val="none" w:sz="0" w:space="0" w:color="auto"/>
                <w:right w:val="none" w:sz="0" w:space="0" w:color="auto"/>
              </w:divBdr>
            </w:div>
          </w:divsChild>
        </w:div>
        <w:div w:id="1040470647">
          <w:marLeft w:val="0"/>
          <w:marRight w:val="0"/>
          <w:marTop w:val="0"/>
          <w:marBottom w:val="0"/>
          <w:divBdr>
            <w:top w:val="none" w:sz="0" w:space="0" w:color="auto"/>
            <w:left w:val="none" w:sz="0" w:space="0" w:color="auto"/>
            <w:bottom w:val="none" w:sz="0" w:space="0" w:color="auto"/>
            <w:right w:val="none" w:sz="0" w:space="0" w:color="auto"/>
          </w:divBdr>
          <w:divsChild>
            <w:div w:id="1269001869">
              <w:marLeft w:val="0"/>
              <w:marRight w:val="0"/>
              <w:marTop w:val="0"/>
              <w:marBottom w:val="0"/>
              <w:divBdr>
                <w:top w:val="none" w:sz="0" w:space="0" w:color="auto"/>
                <w:left w:val="none" w:sz="0" w:space="0" w:color="auto"/>
                <w:bottom w:val="none" w:sz="0" w:space="0" w:color="auto"/>
                <w:right w:val="none" w:sz="0" w:space="0" w:color="auto"/>
              </w:divBdr>
              <w:divsChild>
                <w:div w:id="1795174765">
                  <w:marLeft w:val="0"/>
                  <w:marRight w:val="0"/>
                  <w:marTop w:val="150"/>
                  <w:marBottom w:val="150"/>
                  <w:divBdr>
                    <w:top w:val="none" w:sz="0" w:space="0" w:color="auto"/>
                    <w:left w:val="single" w:sz="6" w:space="0" w:color="CCCCCC"/>
                    <w:bottom w:val="single" w:sz="6" w:space="0" w:color="CCCCCC"/>
                    <w:right w:val="single" w:sz="6" w:space="0" w:color="CCCCCC"/>
                  </w:divBdr>
                  <w:divsChild>
                    <w:div w:id="2027753086">
                      <w:marLeft w:val="0"/>
                      <w:marRight w:val="0"/>
                      <w:marTop w:val="0"/>
                      <w:marBottom w:val="0"/>
                      <w:divBdr>
                        <w:top w:val="single" w:sz="24" w:space="0" w:color="688BCF"/>
                        <w:left w:val="none" w:sz="0" w:space="0" w:color="auto"/>
                        <w:bottom w:val="none" w:sz="0" w:space="0" w:color="auto"/>
                        <w:right w:val="none" w:sz="0" w:space="0" w:color="auto"/>
                      </w:divBdr>
                      <w:divsChild>
                        <w:div w:id="339892388">
                          <w:marLeft w:val="0"/>
                          <w:marRight w:val="0"/>
                          <w:marTop w:val="0"/>
                          <w:marBottom w:val="0"/>
                          <w:divBdr>
                            <w:top w:val="none" w:sz="0" w:space="0" w:color="auto"/>
                            <w:left w:val="none" w:sz="0" w:space="0" w:color="auto"/>
                            <w:bottom w:val="none" w:sz="0" w:space="0" w:color="auto"/>
                            <w:right w:val="none" w:sz="0" w:space="0" w:color="auto"/>
                          </w:divBdr>
                        </w:div>
                        <w:div w:id="2062317870">
                          <w:marLeft w:val="0"/>
                          <w:marRight w:val="0"/>
                          <w:marTop w:val="0"/>
                          <w:marBottom w:val="0"/>
                          <w:divBdr>
                            <w:top w:val="none" w:sz="0" w:space="0" w:color="auto"/>
                            <w:left w:val="none" w:sz="0" w:space="0" w:color="auto"/>
                            <w:bottom w:val="none" w:sz="0" w:space="0" w:color="auto"/>
                            <w:right w:val="none" w:sz="0" w:space="0" w:color="auto"/>
                          </w:divBdr>
                        </w:div>
                      </w:divsChild>
                    </w:div>
                    <w:div w:id="1476531881">
                      <w:marLeft w:val="0"/>
                      <w:marRight w:val="0"/>
                      <w:marTop w:val="150"/>
                      <w:marBottom w:val="0"/>
                      <w:divBdr>
                        <w:top w:val="none" w:sz="0" w:space="0" w:color="auto"/>
                        <w:left w:val="none" w:sz="0" w:space="0" w:color="auto"/>
                        <w:bottom w:val="none" w:sz="0" w:space="0" w:color="auto"/>
                        <w:right w:val="none" w:sz="0" w:space="0" w:color="auto"/>
                      </w:divBdr>
                      <w:divsChild>
                        <w:div w:id="2023437493">
                          <w:marLeft w:val="300"/>
                          <w:marRight w:val="300"/>
                          <w:marTop w:val="0"/>
                          <w:marBottom w:val="0"/>
                          <w:divBdr>
                            <w:top w:val="none" w:sz="0" w:space="0" w:color="auto"/>
                            <w:left w:val="none" w:sz="0" w:space="0" w:color="auto"/>
                            <w:bottom w:val="none" w:sz="0" w:space="0" w:color="auto"/>
                            <w:right w:val="none" w:sz="0" w:space="0" w:color="auto"/>
                          </w:divBdr>
                        </w:div>
                        <w:div w:id="109781349">
                          <w:marLeft w:val="0"/>
                          <w:marRight w:val="0"/>
                          <w:marTop w:val="0"/>
                          <w:marBottom w:val="0"/>
                          <w:divBdr>
                            <w:top w:val="none" w:sz="0" w:space="0" w:color="auto"/>
                            <w:left w:val="none" w:sz="0" w:space="0" w:color="auto"/>
                            <w:bottom w:val="none" w:sz="0" w:space="0" w:color="auto"/>
                            <w:right w:val="none" w:sz="0" w:space="0" w:color="auto"/>
                          </w:divBdr>
                        </w:div>
                        <w:div w:id="649097389">
                          <w:marLeft w:val="300"/>
                          <w:marRight w:val="300"/>
                          <w:marTop w:val="150"/>
                          <w:marBottom w:val="0"/>
                          <w:divBdr>
                            <w:top w:val="single" w:sz="6" w:space="0" w:color="FF3300"/>
                            <w:left w:val="none" w:sz="0" w:space="0" w:color="auto"/>
                            <w:bottom w:val="none" w:sz="0" w:space="0" w:color="auto"/>
                            <w:right w:val="none" w:sz="0" w:space="0" w:color="auto"/>
                          </w:divBdr>
                        </w:div>
                      </w:divsChild>
                    </w:div>
                  </w:divsChild>
                </w:div>
              </w:divsChild>
            </w:div>
          </w:divsChild>
        </w:div>
        <w:div w:id="89661351">
          <w:marLeft w:val="0"/>
          <w:marRight w:val="0"/>
          <w:marTop w:val="75"/>
          <w:marBottom w:val="0"/>
          <w:divBdr>
            <w:top w:val="none" w:sz="0" w:space="0" w:color="auto"/>
            <w:left w:val="none" w:sz="0" w:space="0" w:color="auto"/>
            <w:bottom w:val="none" w:sz="0" w:space="0" w:color="auto"/>
            <w:right w:val="none" w:sz="0" w:space="0" w:color="auto"/>
          </w:divBdr>
          <w:divsChild>
            <w:div w:id="11021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fpc.gov.cn/zhuzhan/lxwmm/201306/e4321fab9684403db366125d6e949cbc.shtml"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nhfpc.gov.cn/ewebeditor/uploadfile/2015/04/20150414114624848.pdf" TargetMode="External"/><Relationship Id="rId12" Type="http://schemas.openxmlformats.org/officeDocument/2006/relationships/hyperlink" Target="mailto:manage@moh.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szs.conac.cn/sitename?method=show&amp;id=095F1802D253655FE053022819AC11D8" TargetMode="External"/><Relationship Id="rId4" Type="http://schemas.openxmlformats.org/officeDocument/2006/relationships/webSettings" Target="webSettings.xml"/><Relationship Id="rId9" Type="http://schemas.openxmlformats.org/officeDocument/2006/relationships/hyperlink" Target="http://www.nhfpc.gov.cn/zhuzhan/map/map.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24</Pages>
  <Words>2631</Words>
  <Characters>14999</Characters>
  <Application>Microsoft Office Word</Application>
  <DocSecurity>0</DocSecurity>
  <Lines>124</Lines>
  <Paragraphs>35</Paragraphs>
  <ScaleCrop>false</ScaleCrop>
  <Company/>
  <LinksUpToDate>false</LinksUpToDate>
  <CharactersWithSpaces>17595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YuQL</dc:creator>
  <cp:keywords/>
  <dc:description/>
  <cp:lastModifiedBy>李 晓阳</cp:lastModifiedBy>
  <cp:revision>48</cp:revision>
  <dcterms:created xsi:type="dcterms:W3CDTF">2016-08-19T08:22:00Z</dcterms:created>
  <dcterms:modified xsi:type="dcterms:W3CDTF">2020-04-16T06:36:00Z</dcterms:modified>
</cp:coreProperties>
</file>