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00" w:lineRule="auto"/>
        <w:jc w:val="both"/>
        <w:rPr>
          <w:rFonts w:ascii="Times New Roman" w:hAnsi="Times New Roman"/>
          <w:shd w:val="clear" w:color="auto" w:fill="FFFFFF"/>
        </w:rPr>
      </w:pPr>
      <w:bookmarkStart w:id="2" w:name="_GoBack"/>
      <w:bookmarkEnd w:id="2"/>
      <w:r>
        <w:rPr>
          <w:rFonts w:hint="eastAsia" w:ascii="Times New Roman" w:hAnsi="Times New Roman"/>
          <w:shd w:val="clear" w:color="auto" w:fill="FFFFFF"/>
        </w:rPr>
        <w:t>中文名称：</w:t>
      </w:r>
      <w:r>
        <w:rPr>
          <w:rFonts w:hint="eastAsia" w:ascii="Times New Roman" w:hAnsi="Times New Roman"/>
        </w:rPr>
        <w:t>按照传统既是食品又是中药材的物质目录管理规定</w:t>
      </w:r>
      <w:r>
        <w:rPr>
          <w:rFonts w:hint="eastAsia" w:ascii="Times New Roman" w:hAnsi="Times New Roman"/>
        </w:rPr>
        <w:br w:type="textWrapping"/>
      </w:r>
      <w:r>
        <w:rPr>
          <w:rFonts w:hint="eastAsia" w:ascii="Times New Roman" w:hAnsi="Times New Roman"/>
          <w:shd w:val="clear" w:color="auto" w:fill="FFFFFF"/>
        </w:rPr>
        <w:t>英文名称：</w:t>
      </w:r>
      <w:r>
        <w:rPr>
          <w:rFonts w:ascii="Times New Roman" w:hAnsi="Times New Roman"/>
        </w:rPr>
        <w:t>Administrative Measures on Substances Directory which can be Conventionally Regarded as Both Food and Chinese Medicine</w:t>
      </w:r>
      <w:r>
        <w:rPr>
          <w:rFonts w:hint="eastAsia" w:ascii="Times New Roman" w:hAnsi="Times New Roman"/>
        </w:rPr>
        <w:br w:type="textWrapping"/>
      </w:r>
      <w:r>
        <w:rPr>
          <w:rFonts w:hint="eastAsia" w:ascii="Times New Roman" w:hAnsi="Times New Roman"/>
          <w:shd w:val="clear" w:color="auto" w:fill="FFFFFF"/>
        </w:rPr>
        <w:t>发布时间：2021/</w:t>
      </w:r>
      <w:r>
        <w:rPr>
          <w:rFonts w:ascii="Times New Roman" w:hAnsi="Times New Roman"/>
          <w:shd w:val="clear" w:color="auto" w:fill="FFFFFF"/>
        </w:rPr>
        <w:t>11</w:t>
      </w:r>
      <w:r>
        <w:rPr>
          <w:rFonts w:hint="eastAsia" w:ascii="Times New Roman" w:hAnsi="Times New Roman"/>
          <w:shd w:val="clear" w:color="auto" w:fill="FFFFFF"/>
        </w:rPr>
        <w:t>/</w:t>
      </w:r>
      <w:r>
        <w:rPr>
          <w:rFonts w:ascii="Times New Roman" w:hAnsi="Times New Roman"/>
          <w:shd w:val="clear" w:color="auto" w:fill="FFFFFF"/>
        </w:rPr>
        <w:t>15</w:t>
      </w:r>
    </w:p>
    <w:p>
      <w:pPr>
        <w:pStyle w:val="8"/>
        <w:shd w:val="clear" w:color="auto" w:fill="FFFFFF"/>
        <w:spacing w:before="0" w:beforeAutospacing="0" w:after="0" w:afterAutospacing="0" w:line="300" w:lineRule="auto"/>
        <w:jc w:val="both"/>
        <w:rPr>
          <w:rFonts w:ascii="Times New Roman" w:hAnsi="Times New Roman"/>
          <w:shd w:val="clear" w:color="auto" w:fill="FFFFFF"/>
        </w:rPr>
      </w:pPr>
      <w:r>
        <w:rPr>
          <w:rFonts w:hint="eastAsia" w:ascii="Times New Roman" w:hAnsi="Times New Roman"/>
          <w:shd w:val="clear" w:color="auto" w:fill="FFFFFF"/>
        </w:rPr>
        <w:t>实施时间：202</w:t>
      </w:r>
      <w:r>
        <w:rPr>
          <w:rFonts w:ascii="Times New Roman" w:hAnsi="Times New Roman"/>
          <w:shd w:val="clear" w:color="auto" w:fill="FFFFFF"/>
        </w:rPr>
        <w:t>1</w:t>
      </w:r>
      <w:r>
        <w:rPr>
          <w:rFonts w:hint="eastAsia" w:ascii="Times New Roman" w:hAnsi="Times New Roman"/>
          <w:shd w:val="clear" w:color="auto" w:fill="FFFFFF"/>
        </w:rPr>
        <w:t>/</w:t>
      </w:r>
      <w:r>
        <w:rPr>
          <w:rFonts w:ascii="Times New Roman" w:hAnsi="Times New Roman"/>
          <w:shd w:val="clear" w:color="auto" w:fill="FFFFFF"/>
        </w:rPr>
        <w:t>11</w:t>
      </w:r>
      <w:r>
        <w:rPr>
          <w:rFonts w:hint="eastAsia" w:ascii="Times New Roman" w:hAnsi="Times New Roman"/>
          <w:shd w:val="clear" w:color="auto" w:fill="FFFFFF"/>
        </w:rPr>
        <w:t>/</w:t>
      </w:r>
      <w:r>
        <w:rPr>
          <w:rFonts w:ascii="Times New Roman" w:hAnsi="Times New Roman"/>
          <w:shd w:val="clear" w:color="auto" w:fill="FFFFFF"/>
        </w:rPr>
        <w:t>15</w:t>
      </w:r>
    </w:p>
    <w:p>
      <w:pPr>
        <w:pStyle w:val="8"/>
        <w:shd w:val="clear" w:color="auto" w:fill="FFFFFF"/>
        <w:spacing w:before="0" w:beforeAutospacing="0" w:after="0" w:afterAutospacing="0" w:line="300" w:lineRule="auto"/>
        <w:jc w:val="both"/>
        <w:rPr>
          <w:rFonts w:ascii="Times New Roman" w:hAnsi="Times New Roman"/>
          <w:shd w:val="clear" w:color="auto" w:fill="FFFFFF"/>
        </w:rPr>
      </w:pPr>
      <w:r>
        <w:rPr>
          <w:rFonts w:hint="eastAsia" w:ascii="Times New Roman" w:hAnsi="Times New Roman"/>
          <w:shd w:val="clear" w:color="auto" w:fill="FFFFFF"/>
        </w:rPr>
        <w:t>发布单位：国家卫生健康委员会</w:t>
      </w:r>
    </w:p>
    <w:p>
      <w:pPr>
        <w:spacing w:line="300" w:lineRule="auto"/>
        <w:jc w:val="center"/>
        <w:rPr>
          <w:rFonts w:eastAsia="宋体"/>
          <w:sz w:val="28"/>
          <w:szCs w:val="28"/>
        </w:rPr>
      </w:pPr>
    </w:p>
    <w:p>
      <w:pPr>
        <w:widowControl/>
        <w:spacing w:line="300" w:lineRule="auto"/>
        <w:jc w:val="center"/>
        <w:rPr>
          <w:rFonts w:eastAsia="宋体" w:cs="Calibri"/>
          <w:kern w:val="0"/>
          <w:sz w:val="28"/>
          <w:szCs w:val="28"/>
        </w:rPr>
      </w:pPr>
      <w:bookmarkStart w:id="0" w:name="OLE_LINK22"/>
      <w:bookmarkStart w:id="1" w:name="OLE_LINK23"/>
      <w:r>
        <w:rPr>
          <w:rFonts w:hint="eastAsia" w:eastAsia="宋体" w:cs="Calibri"/>
          <w:b/>
          <w:bCs/>
          <w:kern w:val="0"/>
          <w:sz w:val="28"/>
          <w:szCs w:val="28"/>
        </w:rPr>
        <w:t>按照传统既是食品又是中药材的物质目录管理规定</w:t>
      </w:r>
    </w:p>
    <w:bookmarkEnd w:id="0"/>
    <w:bookmarkEnd w:id="1"/>
    <w:p>
      <w:pPr>
        <w:widowControl/>
        <w:spacing w:line="300" w:lineRule="auto"/>
        <w:rPr>
          <w:rFonts w:eastAsia="宋体" w:cs="Calibri"/>
          <w:kern w:val="0"/>
          <w:sz w:val="24"/>
        </w:rPr>
      </w:pPr>
      <w:r>
        <w:rPr>
          <w:rFonts w:hint="eastAsia" w:eastAsia="宋体" w:cs="Calibri"/>
          <w:kern w:val="0"/>
          <w:sz w:val="28"/>
          <w:szCs w:val="28"/>
        </w:rPr>
        <w:t>             </w:t>
      </w:r>
      <w:r>
        <w:rPr>
          <w:rFonts w:hint="eastAsia" w:eastAsia="宋体" w:cs="Calibri"/>
          <w:kern w:val="0"/>
          <w:sz w:val="24"/>
        </w:rPr>
        <w:t>  </w:t>
      </w:r>
    </w:p>
    <w:p>
      <w:pPr>
        <w:widowControl/>
        <w:spacing w:line="300" w:lineRule="auto"/>
        <w:ind w:firstLine="642"/>
        <w:rPr>
          <w:rFonts w:eastAsia="宋体" w:cs="Calibri"/>
          <w:kern w:val="0"/>
          <w:sz w:val="24"/>
        </w:rPr>
      </w:pPr>
      <w:r>
        <w:rPr>
          <w:rFonts w:hint="eastAsia" w:eastAsia="宋体" w:cs="Calibri"/>
          <w:b/>
          <w:bCs/>
          <w:kern w:val="0"/>
          <w:sz w:val="24"/>
        </w:rPr>
        <w:t>第一条</w:t>
      </w:r>
      <w:r>
        <w:rPr>
          <w:rFonts w:hint="eastAsia" w:eastAsia="宋体" w:cs="Calibri"/>
          <w:kern w:val="0"/>
          <w:sz w:val="24"/>
        </w:rPr>
        <w:t> 根据《中华人民共和国食品安全法》及其实施条例，为规范按照传统既是食品又是中药材的物质（以下简称食药物质）目录管理，制定本规定。</w:t>
      </w:r>
    </w:p>
    <w:p>
      <w:pPr>
        <w:widowControl/>
        <w:spacing w:line="300" w:lineRule="auto"/>
        <w:ind w:firstLine="642"/>
        <w:rPr>
          <w:rFonts w:eastAsia="宋体" w:cs="Calibri"/>
          <w:kern w:val="0"/>
          <w:sz w:val="24"/>
        </w:rPr>
      </w:pPr>
      <w:r>
        <w:rPr>
          <w:rFonts w:hint="eastAsia" w:eastAsia="宋体" w:cs="Calibri"/>
          <w:b/>
          <w:bCs/>
          <w:kern w:val="0"/>
          <w:sz w:val="24"/>
        </w:rPr>
        <w:t>第二条</w:t>
      </w:r>
      <w:r>
        <w:rPr>
          <w:rFonts w:hint="eastAsia" w:eastAsia="宋体" w:cs="Calibri"/>
          <w:kern w:val="0"/>
          <w:sz w:val="24"/>
        </w:rPr>
        <w:t> 以保障食品安全和维护公众健康为宗旨，遵循依法、科学、公开的原则制定食药物质目录并适时更新。</w:t>
      </w:r>
    </w:p>
    <w:p>
      <w:pPr>
        <w:widowControl/>
        <w:spacing w:line="300" w:lineRule="auto"/>
        <w:ind w:firstLine="642"/>
        <w:rPr>
          <w:rFonts w:eastAsia="宋体" w:cs="Calibri"/>
          <w:kern w:val="0"/>
          <w:sz w:val="24"/>
        </w:rPr>
      </w:pPr>
      <w:r>
        <w:rPr>
          <w:rFonts w:hint="eastAsia" w:eastAsia="宋体" w:cs="Calibri"/>
          <w:b/>
          <w:bCs/>
          <w:kern w:val="0"/>
          <w:sz w:val="24"/>
        </w:rPr>
        <w:t>第三条</w:t>
      </w:r>
      <w:r>
        <w:rPr>
          <w:rFonts w:hint="eastAsia" w:eastAsia="宋体" w:cs="Calibri"/>
          <w:kern w:val="0"/>
          <w:sz w:val="24"/>
        </w:rPr>
        <w:t> 食药物质是指传统作为食品，且列入《中华人民共和国药典》（以下简称《中国药典》）的物质。</w:t>
      </w:r>
    </w:p>
    <w:p>
      <w:pPr>
        <w:widowControl/>
        <w:spacing w:line="300" w:lineRule="auto"/>
        <w:ind w:firstLine="642"/>
        <w:rPr>
          <w:rFonts w:eastAsia="宋体" w:cs="Calibri"/>
          <w:kern w:val="0"/>
          <w:sz w:val="24"/>
        </w:rPr>
      </w:pPr>
      <w:r>
        <w:rPr>
          <w:rFonts w:hint="eastAsia" w:eastAsia="宋体" w:cs="Calibri"/>
          <w:b/>
          <w:bCs/>
          <w:kern w:val="0"/>
          <w:sz w:val="24"/>
        </w:rPr>
        <w:t>第四条</w:t>
      </w:r>
      <w:r>
        <w:rPr>
          <w:rFonts w:hint="eastAsia" w:eastAsia="宋体" w:cs="Calibri"/>
          <w:kern w:val="0"/>
          <w:sz w:val="24"/>
        </w:rPr>
        <w:t> 国家卫生健康委会同市场监管总局制定、公布食药物质目录，对目录实施动态管理。</w:t>
      </w:r>
    </w:p>
    <w:p>
      <w:pPr>
        <w:widowControl/>
        <w:spacing w:line="300" w:lineRule="auto"/>
        <w:ind w:firstLine="642"/>
        <w:rPr>
          <w:rFonts w:eastAsia="宋体" w:cs="Calibri"/>
          <w:kern w:val="0"/>
          <w:sz w:val="24"/>
        </w:rPr>
      </w:pPr>
      <w:r>
        <w:rPr>
          <w:rFonts w:hint="eastAsia" w:eastAsia="宋体" w:cs="Calibri"/>
          <w:b/>
          <w:bCs/>
          <w:kern w:val="0"/>
          <w:sz w:val="24"/>
        </w:rPr>
        <w:t>第五条</w:t>
      </w:r>
      <w:r>
        <w:rPr>
          <w:rFonts w:hint="eastAsia" w:eastAsia="宋体" w:cs="Calibri"/>
          <w:kern w:val="0"/>
          <w:sz w:val="24"/>
        </w:rPr>
        <w:t> 纳入食药物质目录的物质应当符合下列要求：</w:t>
      </w:r>
    </w:p>
    <w:p>
      <w:pPr>
        <w:widowControl/>
        <w:spacing w:line="300" w:lineRule="auto"/>
        <w:ind w:firstLine="640"/>
        <w:rPr>
          <w:rFonts w:eastAsia="宋体" w:cs="Calibri"/>
          <w:kern w:val="0"/>
          <w:sz w:val="24"/>
        </w:rPr>
      </w:pPr>
      <w:r>
        <w:rPr>
          <w:rFonts w:hint="eastAsia" w:eastAsia="宋体" w:cs="Calibri"/>
          <w:kern w:val="0"/>
          <w:sz w:val="24"/>
        </w:rPr>
        <w:t>（一）有传统上作为食品食用的习惯；</w:t>
      </w:r>
    </w:p>
    <w:p>
      <w:pPr>
        <w:widowControl/>
        <w:spacing w:line="300" w:lineRule="auto"/>
        <w:ind w:firstLine="640"/>
        <w:rPr>
          <w:rFonts w:eastAsia="宋体" w:cs="Calibri"/>
          <w:kern w:val="0"/>
          <w:sz w:val="24"/>
        </w:rPr>
      </w:pPr>
      <w:r>
        <w:rPr>
          <w:rFonts w:hint="eastAsia" w:eastAsia="宋体" w:cs="Calibri"/>
          <w:kern w:val="0"/>
          <w:sz w:val="24"/>
        </w:rPr>
        <w:t>（二）已经列入《中国药典》；</w:t>
      </w:r>
    </w:p>
    <w:p>
      <w:pPr>
        <w:widowControl/>
        <w:spacing w:line="300" w:lineRule="auto"/>
        <w:ind w:firstLine="640"/>
        <w:rPr>
          <w:rFonts w:eastAsia="宋体" w:cs="Calibri"/>
          <w:kern w:val="0"/>
          <w:sz w:val="24"/>
        </w:rPr>
      </w:pPr>
      <w:r>
        <w:rPr>
          <w:rFonts w:hint="eastAsia" w:eastAsia="宋体" w:cs="Calibri"/>
          <w:kern w:val="0"/>
          <w:sz w:val="24"/>
        </w:rPr>
        <w:t>（三）安全性评估未发现食品安全问题；</w:t>
      </w:r>
    </w:p>
    <w:p>
      <w:pPr>
        <w:widowControl/>
        <w:spacing w:line="300" w:lineRule="auto"/>
        <w:ind w:firstLine="640"/>
        <w:rPr>
          <w:rFonts w:eastAsia="宋体" w:cs="Calibri"/>
          <w:kern w:val="0"/>
          <w:sz w:val="24"/>
        </w:rPr>
      </w:pPr>
      <w:r>
        <w:rPr>
          <w:rFonts w:hint="eastAsia" w:eastAsia="宋体" w:cs="Calibri"/>
          <w:kern w:val="0"/>
          <w:sz w:val="24"/>
        </w:rPr>
        <w:t>（四）符合中药材资源保护、野生动植物保护、生态保护等相关法律法规规定。</w:t>
      </w:r>
    </w:p>
    <w:p>
      <w:pPr>
        <w:widowControl/>
        <w:spacing w:line="300" w:lineRule="auto"/>
        <w:ind w:firstLine="640"/>
        <w:rPr>
          <w:rFonts w:eastAsia="宋体" w:cs="Calibri"/>
          <w:kern w:val="0"/>
          <w:sz w:val="24"/>
        </w:rPr>
      </w:pPr>
      <w:r>
        <w:rPr>
          <w:rFonts w:hint="eastAsia" w:eastAsia="宋体" w:cs="Calibri"/>
          <w:kern w:val="0"/>
          <w:sz w:val="24"/>
        </w:rPr>
        <w:t> </w:t>
      </w:r>
      <w:r>
        <w:rPr>
          <w:rFonts w:hint="eastAsia" w:eastAsia="宋体" w:cs="Calibri"/>
          <w:b/>
          <w:bCs/>
          <w:kern w:val="0"/>
          <w:sz w:val="24"/>
        </w:rPr>
        <w:t>第六条</w:t>
      </w:r>
      <w:r>
        <w:rPr>
          <w:rFonts w:hint="eastAsia" w:eastAsia="宋体" w:cs="Calibri"/>
          <w:kern w:val="0"/>
          <w:sz w:val="24"/>
        </w:rPr>
        <w:t> 省级卫生健康行政部门结合本辖区情况，向国家卫生健康委提出修订或增补食药物质目录的建议，同时提供下列材料：</w:t>
      </w:r>
    </w:p>
    <w:p>
      <w:pPr>
        <w:widowControl/>
        <w:spacing w:line="300" w:lineRule="auto"/>
        <w:ind w:firstLine="640"/>
        <w:rPr>
          <w:rFonts w:eastAsia="宋体" w:cs="Calibri"/>
          <w:kern w:val="0"/>
          <w:sz w:val="24"/>
        </w:rPr>
      </w:pPr>
      <w:r>
        <w:rPr>
          <w:rFonts w:hint="eastAsia" w:eastAsia="宋体" w:cs="Calibri"/>
          <w:kern w:val="0"/>
          <w:sz w:val="24"/>
        </w:rPr>
        <w:t>（一）物质的基本信息(中文名、拉丁学名、所属科名、食用部位等)；</w:t>
      </w:r>
    </w:p>
    <w:p>
      <w:pPr>
        <w:widowControl/>
        <w:spacing w:line="300" w:lineRule="auto"/>
        <w:ind w:firstLine="640"/>
        <w:rPr>
          <w:rFonts w:eastAsia="宋体" w:cs="Calibri"/>
          <w:kern w:val="0"/>
          <w:sz w:val="24"/>
        </w:rPr>
      </w:pPr>
      <w:r>
        <w:rPr>
          <w:rFonts w:hint="eastAsia" w:eastAsia="宋体" w:cs="Calibri"/>
          <w:kern w:val="0"/>
          <w:sz w:val="24"/>
        </w:rPr>
        <w:t>（二）传统作为食品的证明材料（证明已有30年以上作为食品食用的历史）；</w:t>
      </w:r>
    </w:p>
    <w:p>
      <w:pPr>
        <w:widowControl/>
        <w:spacing w:line="300" w:lineRule="auto"/>
        <w:ind w:firstLine="640"/>
        <w:rPr>
          <w:rFonts w:eastAsia="宋体" w:cs="Calibri"/>
          <w:kern w:val="0"/>
          <w:sz w:val="24"/>
        </w:rPr>
      </w:pPr>
      <w:r>
        <w:rPr>
          <w:rFonts w:hint="eastAsia" w:eastAsia="宋体" w:cs="Calibri"/>
          <w:kern w:val="0"/>
          <w:sz w:val="24"/>
        </w:rPr>
        <w:t>（三）加工和食用方法等资料；</w:t>
      </w:r>
    </w:p>
    <w:p>
      <w:pPr>
        <w:widowControl/>
        <w:spacing w:line="300" w:lineRule="auto"/>
        <w:ind w:firstLine="640"/>
        <w:rPr>
          <w:rFonts w:eastAsia="宋体" w:cs="Calibri"/>
          <w:kern w:val="0"/>
          <w:sz w:val="24"/>
        </w:rPr>
      </w:pPr>
      <w:r>
        <w:rPr>
          <w:rFonts w:hint="eastAsia" w:eastAsia="宋体" w:cs="Calibri"/>
          <w:kern w:val="0"/>
          <w:sz w:val="24"/>
        </w:rPr>
        <w:t>（四）安全性评估资料；</w:t>
      </w:r>
    </w:p>
    <w:p>
      <w:pPr>
        <w:widowControl/>
        <w:spacing w:line="300" w:lineRule="auto"/>
        <w:ind w:firstLine="640"/>
        <w:rPr>
          <w:rFonts w:eastAsia="宋体" w:cs="Calibri"/>
          <w:kern w:val="0"/>
          <w:sz w:val="24"/>
        </w:rPr>
      </w:pPr>
      <w:r>
        <w:rPr>
          <w:rFonts w:hint="eastAsia" w:eastAsia="宋体" w:cs="Calibri"/>
          <w:kern w:val="0"/>
          <w:sz w:val="24"/>
        </w:rPr>
        <w:t>（五）执行的质量规格和食品安全指标。</w:t>
      </w:r>
    </w:p>
    <w:p>
      <w:pPr>
        <w:widowControl/>
        <w:spacing w:line="300" w:lineRule="auto"/>
        <w:ind w:firstLine="642"/>
        <w:rPr>
          <w:rFonts w:eastAsia="宋体" w:cs="Calibri"/>
          <w:kern w:val="0"/>
          <w:sz w:val="24"/>
        </w:rPr>
      </w:pPr>
      <w:r>
        <w:rPr>
          <w:rFonts w:hint="eastAsia" w:eastAsia="宋体" w:cs="Calibri"/>
          <w:b/>
          <w:bCs/>
          <w:kern w:val="0"/>
          <w:sz w:val="24"/>
        </w:rPr>
        <w:t>第七条</w:t>
      </w:r>
      <w:r>
        <w:rPr>
          <w:rFonts w:hint="eastAsia" w:eastAsia="宋体" w:cs="Calibri"/>
          <w:kern w:val="0"/>
          <w:sz w:val="24"/>
        </w:rPr>
        <w:t> 安全性评估资料应符合以下要求：</w:t>
      </w:r>
    </w:p>
    <w:p>
      <w:pPr>
        <w:widowControl/>
        <w:spacing w:line="300" w:lineRule="auto"/>
        <w:ind w:firstLine="640"/>
        <w:rPr>
          <w:rFonts w:eastAsia="宋体" w:cs="Calibri"/>
          <w:kern w:val="0"/>
          <w:sz w:val="24"/>
        </w:rPr>
      </w:pPr>
      <w:r>
        <w:rPr>
          <w:rFonts w:hint="eastAsia" w:eastAsia="宋体" w:cs="Calibri"/>
          <w:kern w:val="0"/>
          <w:sz w:val="24"/>
        </w:rPr>
        <w:t>（一）成分分析报告：包括主要成分和可能的有害成分监测结果及检测方法；</w:t>
      </w:r>
    </w:p>
    <w:p>
      <w:pPr>
        <w:widowControl/>
        <w:spacing w:line="300" w:lineRule="auto"/>
        <w:ind w:firstLine="640"/>
        <w:rPr>
          <w:rFonts w:eastAsia="宋体" w:cs="Calibri"/>
          <w:kern w:val="0"/>
          <w:sz w:val="24"/>
        </w:rPr>
      </w:pPr>
      <w:r>
        <w:rPr>
          <w:rFonts w:hint="eastAsia" w:eastAsia="宋体" w:cs="Calibri"/>
          <w:kern w:val="0"/>
          <w:sz w:val="24"/>
        </w:rPr>
        <w:t>（二）卫生学检验报告：3批有代表性样品的污染物和微生物的检测结果及方法；</w:t>
      </w:r>
    </w:p>
    <w:p>
      <w:pPr>
        <w:widowControl/>
        <w:spacing w:line="300" w:lineRule="auto"/>
        <w:ind w:firstLine="640"/>
        <w:rPr>
          <w:rFonts w:eastAsia="宋体" w:cs="Calibri"/>
          <w:kern w:val="0"/>
          <w:sz w:val="24"/>
        </w:rPr>
      </w:pPr>
      <w:r>
        <w:rPr>
          <w:rFonts w:hint="eastAsia" w:eastAsia="宋体" w:cs="Calibri"/>
          <w:kern w:val="0"/>
          <w:sz w:val="24"/>
        </w:rPr>
        <w:t>（三）毒理学评价报告：至少包括急性经口毒性试验、3项遗传毒性试验、90天经口毒性试验和致畸试验；其中，在古代医籍中有两部以上食疗本草记载无毒性、无服用禁忌（包括不宜久食）的品种，可以只提供本条第（一）、（二）项试验资料;</w:t>
      </w:r>
    </w:p>
    <w:p>
      <w:pPr>
        <w:widowControl/>
        <w:spacing w:line="300" w:lineRule="auto"/>
        <w:ind w:firstLine="640"/>
        <w:rPr>
          <w:rFonts w:eastAsia="宋体" w:cs="Calibri"/>
          <w:kern w:val="0"/>
          <w:sz w:val="24"/>
        </w:rPr>
      </w:pPr>
      <w:r>
        <w:rPr>
          <w:rFonts w:hint="eastAsia" w:eastAsia="宋体" w:cs="Calibri"/>
          <w:kern w:val="0"/>
          <w:sz w:val="24"/>
        </w:rPr>
        <w:t>（四）药理作用的特殊针对性指标的试验资料，包括对主要药理成分的风险评估报告。</w:t>
      </w:r>
    </w:p>
    <w:p>
      <w:pPr>
        <w:widowControl/>
        <w:spacing w:line="300" w:lineRule="auto"/>
        <w:ind w:firstLine="642"/>
        <w:rPr>
          <w:rFonts w:eastAsia="宋体" w:cs="Calibri"/>
          <w:kern w:val="0"/>
          <w:sz w:val="24"/>
        </w:rPr>
      </w:pPr>
      <w:r>
        <w:rPr>
          <w:rFonts w:hint="eastAsia" w:eastAsia="宋体" w:cs="Calibri"/>
          <w:b/>
          <w:bCs/>
          <w:kern w:val="0"/>
          <w:sz w:val="24"/>
        </w:rPr>
        <w:t>第八条</w:t>
      </w:r>
      <w:r>
        <w:rPr>
          <w:rFonts w:hint="eastAsia" w:eastAsia="宋体" w:cs="Calibri"/>
          <w:kern w:val="0"/>
          <w:sz w:val="24"/>
        </w:rPr>
        <w:t> 国家卫生健康委委托技术机构负责食药物质目录修订的技术审查等工作。委托的技术机构负责组织相关领域的专家，开展食药物质食品安全风险评估、社会稳定风险评估等工作，形成综合评估意见。市场监管部门根据工作需要，可指派专家参与开展食药物质食品安全风险评估、社会稳定风险评估工作。</w:t>
      </w:r>
    </w:p>
    <w:p>
      <w:pPr>
        <w:widowControl/>
        <w:spacing w:line="300" w:lineRule="auto"/>
        <w:ind w:firstLine="640"/>
        <w:rPr>
          <w:rFonts w:eastAsia="宋体" w:cs="Calibri"/>
          <w:kern w:val="0"/>
          <w:sz w:val="24"/>
        </w:rPr>
      </w:pPr>
      <w:r>
        <w:rPr>
          <w:rFonts w:hint="eastAsia" w:eastAsia="宋体" w:cs="Calibri"/>
          <w:kern w:val="0"/>
          <w:sz w:val="24"/>
        </w:rPr>
        <w:t>根据工作需要，委托的技术机构可以组织专家现场调研、核查，也可以采取招标、委托等方式选择具有技术能力的单位承担相关研究论证工作。</w:t>
      </w:r>
    </w:p>
    <w:p>
      <w:pPr>
        <w:widowControl/>
        <w:spacing w:line="300" w:lineRule="auto"/>
        <w:ind w:firstLine="642"/>
        <w:rPr>
          <w:rFonts w:eastAsia="宋体" w:cs="Calibri"/>
          <w:kern w:val="0"/>
          <w:sz w:val="24"/>
        </w:rPr>
      </w:pPr>
      <w:r>
        <w:rPr>
          <w:rFonts w:hint="eastAsia" w:eastAsia="宋体" w:cs="Calibri"/>
          <w:b/>
          <w:bCs/>
          <w:kern w:val="0"/>
          <w:sz w:val="24"/>
        </w:rPr>
        <w:t>第九条</w:t>
      </w:r>
      <w:r>
        <w:rPr>
          <w:rFonts w:hint="eastAsia" w:eastAsia="宋体" w:cs="Calibri"/>
          <w:kern w:val="0"/>
          <w:sz w:val="24"/>
        </w:rPr>
        <w:t>  国家卫生健康委对技术机构报送的综合评估意见进行审核，将符合本规定要求的物质纳入食药物质目录，会同市场监管总局予以公布。</w:t>
      </w:r>
    </w:p>
    <w:p>
      <w:pPr>
        <w:widowControl/>
        <w:spacing w:line="300" w:lineRule="auto"/>
        <w:ind w:firstLine="640"/>
        <w:rPr>
          <w:rFonts w:eastAsia="宋体" w:cs="Calibri"/>
          <w:kern w:val="0"/>
          <w:sz w:val="24"/>
        </w:rPr>
      </w:pPr>
      <w:r>
        <w:rPr>
          <w:rFonts w:hint="eastAsia" w:eastAsia="宋体" w:cs="Calibri"/>
          <w:kern w:val="0"/>
          <w:sz w:val="24"/>
        </w:rPr>
        <w:t>公布的食药物质目录应当包括中文名、拉丁学名、所属科名、可食用部位等信息。</w:t>
      </w:r>
    </w:p>
    <w:p>
      <w:pPr>
        <w:widowControl/>
        <w:spacing w:line="300" w:lineRule="auto"/>
        <w:ind w:firstLine="642"/>
        <w:rPr>
          <w:rFonts w:eastAsia="宋体" w:cs="Calibri"/>
          <w:kern w:val="0"/>
          <w:sz w:val="24"/>
        </w:rPr>
      </w:pPr>
      <w:r>
        <w:rPr>
          <w:rFonts w:hint="eastAsia" w:eastAsia="宋体" w:cs="Calibri"/>
          <w:b/>
          <w:bCs/>
          <w:kern w:val="0"/>
          <w:sz w:val="24"/>
        </w:rPr>
        <w:t>第十条</w:t>
      </w:r>
      <w:r>
        <w:rPr>
          <w:rFonts w:hint="eastAsia" w:eastAsia="宋体" w:cs="Calibri"/>
          <w:kern w:val="0"/>
          <w:sz w:val="24"/>
        </w:rPr>
        <w:t> 有下列情形之一的，应当研究修订目录：</w:t>
      </w:r>
    </w:p>
    <w:p>
      <w:pPr>
        <w:widowControl/>
        <w:spacing w:line="300" w:lineRule="auto"/>
        <w:ind w:firstLine="640"/>
        <w:rPr>
          <w:rFonts w:eastAsia="宋体" w:cs="Calibri"/>
          <w:kern w:val="0"/>
          <w:sz w:val="24"/>
        </w:rPr>
      </w:pPr>
      <w:r>
        <w:rPr>
          <w:rFonts w:hint="eastAsia" w:eastAsia="宋体" w:cs="Calibri"/>
          <w:kern w:val="0"/>
          <w:sz w:val="24"/>
        </w:rPr>
        <w:t>（一）食品安全风险监测和监督管理中有新的科学证据表明存在食品安全问题；</w:t>
      </w:r>
    </w:p>
    <w:p>
      <w:pPr>
        <w:widowControl/>
        <w:spacing w:line="300" w:lineRule="auto"/>
        <w:ind w:firstLine="640"/>
        <w:rPr>
          <w:rFonts w:eastAsia="宋体" w:cs="Calibri"/>
          <w:kern w:val="0"/>
          <w:sz w:val="24"/>
        </w:rPr>
      </w:pPr>
      <w:r>
        <w:rPr>
          <w:rFonts w:hint="eastAsia" w:eastAsia="宋体" w:cs="Calibri"/>
          <w:kern w:val="0"/>
          <w:sz w:val="24"/>
        </w:rPr>
        <w:t>（二）需要对食药物质的基本信息等进行调整；</w:t>
      </w:r>
    </w:p>
    <w:p>
      <w:pPr>
        <w:widowControl/>
        <w:spacing w:line="300" w:lineRule="auto"/>
        <w:ind w:firstLine="640"/>
        <w:rPr>
          <w:rFonts w:eastAsia="宋体" w:cs="Calibri"/>
          <w:kern w:val="0"/>
          <w:sz w:val="24"/>
        </w:rPr>
      </w:pPr>
      <w:r>
        <w:rPr>
          <w:rFonts w:hint="eastAsia" w:eastAsia="宋体" w:cs="Calibri"/>
          <w:kern w:val="0"/>
          <w:sz w:val="24"/>
        </w:rPr>
        <w:t>（三）其他需要修订的情形。</w:t>
      </w:r>
    </w:p>
    <w:p>
      <w:pPr>
        <w:widowControl/>
        <w:spacing w:line="300" w:lineRule="auto"/>
        <w:ind w:firstLine="640"/>
        <w:rPr>
          <w:rFonts w:eastAsia="宋体" w:cs="Calibri"/>
          <w:kern w:val="0"/>
          <w:sz w:val="24"/>
        </w:rPr>
      </w:pPr>
      <w:r>
        <w:rPr>
          <w:rFonts w:hint="eastAsia" w:eastAsia="宋体" w:cs="Calibri"/>
          <w:kern w:val="0"/>
          <w:sz w:val="24"/>
        </w:rPr>
        <w:t>委托的技术机构根据最新研究进展，可以向国家卫生健康委提出修订食药物质目录的建议和风险监测方案。</w:t>
      </w:r>
    </w:p>
    <w:p>
      <w:pPr>
        <w:widowControl/>
        <w:spacing w:line="300" w:lineRule="auto"/>
        <w:ind w:firstLine="642"/>
        <w:rPr>
          <w:rFonts w:eastAsia="宋体" w:cs="Calibri"/>
          <w:kern w:val="0"/>
          <w:sz w:val="24"/>
        </w:rPr>
      </w:pPr>
      <w:r>
        <w:rPr>
          <w:rFonts w:hint="eastAsia" w:eastAsia="宋体" w:cs="Calibri"/>
          <w:b/>
          <w:bCs/>
          <w:kern w:val="0"/>
          <w:sz w:val="24"/>
        </w:rPr>
        <w:t>第十一条</w:t>
      </w:r>
      <w:r>
        <w:rPr>
          <w:rFonts w:hint="eastAsia" w:eastAsia="宋体" w:cs="Calibri"/>
          <w:kern w:val="0"/>
          <w:sz w:val="24"/>
        </w:rPr>
        <w:t> 对新纳入食药物质目录的物质，提出建议的省级卫生健康行政部门应当将其列入食品安全风险监测方案。根据风险监测和风险评估结果，适时提出制定或指定适用食品安全国家标准的建议。</w:t>
      </w:r>
    </w:p>
    <w:p>
      <w:pPr>
        <w:widowControl/>
        <w:spacing w:line="300" w:lineRule="auto"/>
        <w:ind w:firstLine="642"/>
        <w:rPr>
          <w:rFonts w:eastAsia="宋体" w:cs="Calibri"/>
          <w:kern w:val="0"/>
          <w:sz w:val="24"/>
        </w:rPr>
      </w:pPr>
      <w:r>
        <w:rPr>
          <w:rFonts w:hint="eastAsia" w:eastAsia="宋体" w:cs="Calibri"/>
          <w:b/>
          <w:bCs/>
          <w:kern w:val="0"/>
          <w:sz w:val="24"/>
        </w:rPr>
        <w:t>第十二条</w:t>
      </w:r>
      <w:r>
        <w:rPr>
          <w:rFonts w:hint="eastAsia" w:eastAsia="宋体" w:cs="Calibri"/>
          <w:kern w:val="0"/>
          <w:sz w:val="24"/>
        </w:rPr>
        <w:t> 食品生产经营者使用食药物质应当符合国家法律、法规、食品安全标准和食药物质目录的相关规定，产品标签标识和经营中不得声称具有保健功能、不得涉及疾病预防治疗功能。</w:t>
      </w:r>
    </w:p>
    <w:p>
      <w:pPr>
        <w:widowControl/>
        <w:spacing w:line="300" w:lineRule="auto"/>
        <w:ind w:firstLine="642"/>
        <w:rPr>
          <w:rFonts w:hint="eastAsia" w:eastAsia="宋体" w:cs="Calibri"/>
          <w:kern w:val="0"/>
          <w:sz w:val="24"/>
        </w:rPr>
      </w:pPr>
      <w:r>
        <w:rPr>
          <w:rFonts w:hint="eastAsia" w:eastAsia="宋体" w:cs="Calibri"/>
          <w:b/>
          <w:bCs/>
          <w:kern w:val="0"/>
          <w:sz w:val="24"/>
        </w:rPr>
        <w:t>第十三条</w:t>
      </w:r>
      <w:r>
        <w:rPr>
          <w:rFonts w:hint="eastAsia" w:eastAsia="宋体" w:cs="Calibri"/>
          <w:kern w:val="0"/>
          <w:sz w:val="24"/>
        </w:rPr>
        <w:t> 本规定自发布之日起实施。</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430346220"/>
    </w:sdtPr>
    <w:sdtEndPr>
      <w:rPr>
        <w:rStyle w:val="14"/>
      </w:rPr>
    </w:sdtEndPr>
    <w:sdtContent>
      <w:p>
        <w:pPr>
          <w:pStyle w:val="6"/>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separate"/>
        </w:r>
        <w:r>
          <w:rPr>
            <w:rStyle w:val="14"/>
          </w:rPr>
          <w:t>2</w:t>
        </w:r>
        <w:r>
          <w:rPr>
            <w:rStyle w:val="14"/>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048220084"/>
    </w:sdtPr>
    <w:sdtEndPr>
      <w:rPr>
        <w:rStyle w:val="14"/>
      </w:rPr>
    </w:sdtEndPr>
    <w:sdtContent>
      <w:p>
        <w:pPr>
          <w:pStyle w:val="6"/>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B0"/>
    <w:rsid w:val="000002F2"/>
    <w:rsid w:val="00000E31"/>
    <w:rsid w:val="00012A0D"/>
    <w:rsid w:val="00021786"/>
    <w:rsid w:val="00024AC0"/>
    <w:rsid w:val="00024C83"/>
    <w:rsid w:val="00025E52"/>
    <w:rsid w:val="0004695F"/>
    <w:rsid w:val="00047607"/>
    <w:rsid w:val="00054C43"/>
    <w:rsid w:val="00057E05"/>
    <w:rsid w:val="0007144B"/>
    <w:rsid w:val="00077739"/>
    <w:rsid w:val="00083276"/>
    <w:rsid w:val="000A6738"/>
    <w:rsid w:val="000B2CC3"/>
    <w:rsid w:val="000B323D"/>
    <w:rsid w:val="000C454D"/>
    <w:rsid w:val="000D0824"/>
    <w:rsid w:val="000D245E"/>
    <w:rsid w:val="000E35F0"/>
    <w:rsid w:val="000F33C0"/>
    <w:rsid w:val="00105748"/>
    <w:rsid w:val="00105F3F"/>
    <w:rsid w:val="0010653C"/>
    <w:rsid w:val="00111F3D"/>
    <w:rsid w:val="001131A7"/>
    <w:rsid w:val="001258D8"/>
    <w:rsid w:val="00141DC5"/>
    <w:rsid w:val="00142438"/>
    <w:rsid w:val="00146536"/>
    <w:rsid w:val="0015077C"/>
    <w:rsid w:val="00165CB7"/>
    <w:rsid w:val="0017140C"/>
    <w:rsid w:val="00174B36"/>
    <w:rsid w:val="00183C91"/>
    <w:rsid w:val="0019300E"/>
    <w:rsid w:val="001A0ACF"/>
    <w:rsid w:val="001C3DB8"/>
    <w:rsid w:val="001C4BC7"/>
    <w:rsid w:val="001C5F85"/>
    <w:rsid w:val="001D204B"/>
    <w:rsid w:val="001E31C4"/>
    <w:rsid w:val="001E5AD0"/>
    <w:rsid w:val="00203738"/>
    <w:rsid w:val="00204380"/>
    <w:rsid w:val="0023174E"/>
    <w:rsid w:val="0023383A"/>
    <w:rsid w:val="00252F9B"/>
    <w:rsid w:val="00260D43"/>
    <w:rsid w:val="002631F2"/>
    <w:rsid w:val="00263EE5"/>
    <w:rsid w:val="00282E2A"/>
    <w:rsid w:val="002834FF"/>
    <w:rsid w:val="0029352E"/>
    <w:rsid w:val="00294D50"/>
    <w:rsid w:val="002B0544"/>
    <w:rsid w:val="002B7E5D"/>
    <w:rsid w:val="002D258C"/>
    <w:rsid w:val="002D3387"/>
    <w:rsid w:val="002D7BB4"/>
    <w:rsid w:val="002E10D3"/>
    <w:rsid w:val="002F554F"/>
    <w:rsid w:val="002F5BDE"/>
    <w:rsid w:val="003039CD"/>
    <w:rsid w:val="00304ED2"/>
    <w:rsid w:val="00313DEA"/>
    <w:rsid w:val="0031456E"/>
    <w:rsid w:val="003151F1"/>
    <w:rsid w:val="003304B9"/>
    <w:rsid w:val="00335336"/>
    <w:rsid w:val="00343ED9"/>
    <w:rsid w:val="0034556E"/>
    <w:rsid w:val="0035512E"/>
    <w:rsid w:val="003557EA"/>
    <w:rsid w:val="00356AE1"/>
    <w:rsid w:val="00372507"/>
    <w:rsid w:val="003754ED"/>
    <w:rsid w:val="003935A2"/>
    <w:rsid w:val="003A7DC1"/>
    <w:rsid w:val="003B7BD5"/>
    <w:rsid w:val="003C2C2E"/>
    <w:rsid w:val="003E11A8"/>
    <w:rsid w:val="003E2B10"/>
    <w:rsid w:val="003E343F"/>
    <w:rsid w:val="003E3645"/>
    <w:rsid w:val="003F2741"/>
    <w:rsid w:val="003F2D5D"/>
    <w:rsid w:val="003F4E07"/>
    <w:rsid w:val="003F5292"/>
    <w:rsid w:val="003F5374"/>
    <w:rsid w:val="003F620E"/>
    <w:rsid w:val="00413000"/>
    <w:rsid w:val="00444B68"/>
    <w:rsid w:val="00445B2D"/>
    <w:rsid w:val="00454B35"/>
    <w:rsid w:val="00460CBF"/>
    <w:rsid w:val="0046457C"/>
    <w:rsid w:val="00471BA3"/>
    <w:rsid w:val="00476B9E"/>
    <w:rsid w:val="00476C06"/>
    <w:rsid w:val="0047753F"/>
    <w:rsid w:val="00490AC5"/>
    <w:rsid w:val="004A180D"/>
    <w:rsid w:val="004B3932"/>
    <w:rsid w:val="004B4B75"/>
    <w:rsid w:val="004B6B1D"/>
    <w:rsid w:val="004C4CEF"/>
    <w:rsid w:val="004C612D"/>
    <w:rsid w:val="004C6D25"/>
    <w:rsid w:val="004D67EF"/>
    <w:rsid w:val="004E0B57"/>
    <w:rsid w:val="004E1D3A"/>
    <w:rsid w:val="004F0212"/>
    <w:rsid w:val="004F0A39"/>
    <w:rsid w:val="004F1A08"/>
    <w:rsid w:val="004F5404"/>
    <w:rsid w:val="00501EA3"/>
    <w:rsid w:val="00507A71"/>
    <w:rsid w:val="00510138"/>
    <w:rsid w:val="005118AE"/>
    <w:rsid w:val="005124EA"/>
    <w:rsid w:val="00520391"/>
    <w:rsid w:val="00520B89"/>
    <w:rsid w:val="00521913"/>
    <w:rsid w:val="00524EC7"/>
    <w:rsid w:val="00531EA8"/>
    <w:rsid w:val="00533A54"/>
    <w:rsid w:val="00542BE4"/>
    <w:rsid w:val="00547996"/>
    <w:rsid w:val="00552625"/>
    <w:rsid w:val="00552802"/>
    <w:rsid w:val="00564168"/>
    <w:rsid w:val="00564AD8"/>
    <w:rsid w:val="00564FB4"/>
    <w:rsid w:val="005A0706"/>
    <w:rsid w:val="005A18DC"/>
    <w:rsid w:val="005A3CB9"/>
    <w:rsid w:val="005A3E48"/>
    <w:rsid w:val="005A54AB"/>
    <w:rsid w:val="005A63E2"/>
    <w:rsid w:val="005B564E"/>
    <w:rsid w:val="005C0E9B"/>
    <w:rsid w:val="005C293F"/>
    <w:rsid w:val="005D2907"/>
    <w:rsid w:val="00603B2E"/>
    <w:rsid w:val="006040A6"/>
    <w:rsid w:val="006124E9"/>
    <w:rsid w:val="00614104"/>
    <w:rsid w:val="00617650"/>
    <w:rsid w:val="00620191"/>
    <w:rsid w:val="00622655"/>
    <w:rsid w:val="00625C96"/>
    <w:rsid w:val="00625DDA"/>
    <w:rsid w:val="00626EB0"/>
    <w:rsid w:val="00631565"/>
    <w:rsid w:val="0065096B"/>
    <w:rsid w:val="00650BF2"/>
    <w:rsid w:val="0066285C"/>
    <w:rsid w:val="00662D3E"/>
    <w:rsid w:val="0066525B"/>
    <w:rsid w:val="006830AA"/>
    <w:rsid w:val="00684F73"/>
    <w:rsid w:val="00692CE8"/>
    <w:rsid w:val="00693B33"/>
    <w:rsid w:val="006957A8"/>
    <w:rsid w:val="006A6421"/>
    <w:rsid w:val="006B173A"/>
    <w:rsid w:val="006B31C7"/>
    <w:rsid w:val="006D6AE8"/>
    <w:rsid w:val="006E4E26"/>
    <w:rsid w:val="006E56F1"/>
    <w:rsid w:val="006F3528"/>
    <w:rsid w:val="006F3DE1"/>
    <w:rsid w:val="00711E16"/>
    <w:rsid w:val="007137BA"/>
    <w:rsid w:val="00715393"/>
    <w:rsid w:val="00717856"/>
    <w:rsid w:val="00720899"/>
    <w:rsid w:val="00726FDA"/>
    <w:rsid w:val="0073078F"/>
    <w:rsid w:val="00734D0E"/>
    <w:rsid w:val="007351B8"/>
    <w:rsid w:val="00736321"/>
    <w:rsid w:val="00741096"/>
    <w:rsid w:val="00742551"/>
    <w:rsid w:val="00745105"/>
    <w:rsid w:val="00746524"/>
    <w:rsid w:val="00746C47"/>
    <w:rsid w:val="00747939"/>
    <w:rsid w:val="00754A0C"/>
    <w:rsid w:val="007629A0"/>
    <w:rsid w:val="00764D57"/>
    <w:rsid w:val="007668C7"/>
    <w:rsid w:val="00772C77"/>
    <w:rsid w:val="007733FA"/>
    <w:rsid w:val="00773B7C"/>
    <w:rsid w:val="007754D6"/>
    <w:rsid w:val="00782A06"/>
    <w:rsid w:val="00782F19"/>
    <w:rsid w:val="00785953"/>
    <w:rsid w:val="00792BCD"/>
    <w:rsid w:val="0079513A"/>
    <w:rsid w:val="00796054"/>
    <w:rsid w:val="007A65FD"/>
    <w:rsid w:val="007C470A"/>
    <w:rsid w:val="007D49B4"/>
    <w:rsid w:val="007E5E80"/>
    <w:rsid w:val="00804624"/>
    <w:rsid w:val="00806CB7"/>
    <w:rsid w:val="00807032"/>
    <w:rsid w:val="00815C3F"/>
    <w:rsid w:val="00821297"/>
    <w:rsid w:val="00844CBB"/>
    <w:rsid w:val="00850632"/>
    <w:rsid w:val="00852B24"/>
    <w:rsid w:val="008628D2"/>
    <w:rsid w:val="0088178F"/>
    <w:rsid w:val="00886109"/>
    <w:rsid w:val="00890E01"/>
    <w:rsid w:val="008929DD"/>
    <w:rsid w:val="008A0FF2"/>
    <w:rsid w:val="008A645B"/>
    <w:rsid w:val="008B11B3"/>
    <w:rsid w:val="008B4B2C"/>
    <w:rsid w:val="008C3A8E"/>
    <w:rsid w:val="008C4CC5"/>
    <w:rsid w:val="008C6CC2"/>
    <w:rsid w:val="008D0AB4"/>
    <w:rsid w:val="008D0BD7"/>
    <w:rsid w:val="008E1706"/>
    <w:rsid w:val="008F3EAD"/>
    <w:rsid w:val="008F60D8"/>
    <w:rsid w:val="0090338E"/>
    <w:rsid w:val="00904BD6"/>
    <w:rsid w:val="00920619"/>
    <w:rsid w:val="00930CE6"/>
    <w:rsid w:val="00933068"/>
    <w:rsid w:val="009352D8"/>
    <w:rsid w:val="0094280E"/>
    <w:rsid w:val="0095366F"/>
    <w:rsid w:val="0097650D"/>
    <w:rsid w:val="00977DA4"/>
    <w:rsid w:val="00984CD8"/>
    <w:rsid w:val="00991CDD"/>
    <w:rsid w:val="009968F8"/>
    <w:rsid w:val="00997520"/>
    <w:rsid w:val="009A215E"/>
    <w:rsid w:val="009A2F86"/>
    <w:rsid w:val="009B647D"/>
    <w:rsid w:val="009C02DE"/>
    <w:rsid w:val="009C5508"/>
    <w:rsid w:val="009E0A05"/>
    <w:rsid w:val="009F7323"/>
    <w:rsid w:val="00A101AD"/>
    <w:rsid w:val="00A104C7"/>
    <w:rsid w:val="00A2263C"/>
    <w:rsid w:val="00A2471C"/>
    <w:rsid w:val="00A42901"/>
    <w:rsid w:val="00A54171"/>
    <w:rsid w:val="00A6343A"/>
    <w:rsid w:val="00A659DC"/>
    <w:rsid w:val="00A812B5"/>
    <w:rsid w:val="00A82397"/>
    <w:rsid w:val="00A82489"/>
    <w:rsid w:val="00A85224"/>
    <w:rsid w:val="00A9474C"/>
    <w:rsid w:val="00AA05D8"/>
    <w:rsid w:val="00AA2A2D"/>
    <w:rsid w:val="00AA3327"/>
    <w:rsid w:val="00AA793F"/>
    <w:rsid w:val="00AC0503"/>
    <w:rsid w:val="00AC0BA2"/>
    <w:rsid w:val="00AC6EDE"/>
    <w:rsid w:val="00AD187A"/>
    <w:rsid w:val="00AE04E6"/>
    <w:rsid w:val="00AE2F02"/>
    <w:rsid w:val="00AE5EA6"/>
    <w:rsid w:val="00B02599"/>
    <w:rsid w:val="00B04FEC"/>
    <w:rsid w:val="00B11809"/>
    <w:rsid w:val="00B13748"/>
    <w:rsid w:val="00B20FCB"/>
    <w:rsid w:val="00B3307E"/>
    <w:rsid w:val="00B3580C"/>
    <w:rsid w:val="00B412C0"/>
    <w:rsid w:val="00B4610D"/>
    <w:rsid w:val="00B465B7"/>
    <w:rsid w:val="00B4771C"/>
    <w:rsid w:val="00B5376A"/>
    <w:rsid w:val="00B54146"/>
    <w:rsid w:val="00B6227C"/>
    <w:rsid w:val="00B65460"/>
    <w:rsid w:val="00B678BE"/>
    <w:rsid w:val="00B82DC4"/>
    <w:rsid w:val="00B8337F"/>
    <w:rsid w:val="00B95758"/>
    <w:rsid w:val="00BA2EA8"/>
    <w:rsid w:val="00BB3CD2"/>
    <w:rsid w:val="00BB4A2E"/>
    <w:rsid w:val="00BC35AF"/>
    <w:rsid w:val="00BF35AA"/>
    <w:rsid w:val="00C1702D"/>
    <w:rsid w:val="00C20598"/>
    <w:rsid w:val="00C233B0"/>
    <w:rsid w:val="00C24FCC"/>
    <w:rsid w:val="00C273F7"/>
    <w:rsid w:val="00C3497C"/>
    <w:rsid w:val="00C34B87"/>
    <w:rsid w:val="00C54994"/>
    <w:rsid w:val="00C603B8"/>
    <w:rsid w:val="00C627DF"/>
    <w:rsid w:val="00C65E3B"/>
    <w:rsid w:val="00C87B42"/>
    <w:rsid w:val="00C919A4"/>
    <w:rsid w:val="00CA244C"/>
    <w:rsid w:val="00CA4135"/>
    <w:rsid w:val="00CB00F6"/>
    <w:rsid w:val="00CB3CEE"/>
    <w:rsid w:val="00CB5D26"/>
    <w:rsid w:val="00CC29AA"/>
    <w:rsid w:val="00CD03EA"/>
    <w:rsid w:val="00CD0BA8"/>
    <w:rsid w:val="00CD60A5"/>
    <w:rsid w:val="00CE5073"/>
    <w:rsid w:val="00CE67F7"/>
    <w:rsid w:val="00CE7E3A"/>
    <w:rsid w:val="00D003F8"/>
    <w:rsid w:val="00D323A9"/>
    <w:rsid w:val="00D35697"/>
    <w:rsid w:val="00D74219"/>
    <w:rsid w:val="00D74510"/>
    <w:rsid w:val="00D7763D"/>
    <w:rsid w:val="00D81823"/>
    <w:rsid w:val="00D83CAF"/>
    <w:rsid w:val="00D9763B"/>
    <w:rsid w:val="00DA7495"/>
    <w:rsid w:val="00DB70CB"/>
    <w:rsid w:val="00DC5808"/>
    <w:rsid w:val="00DC5906"/>
    <w:rsid w:val="00DD4CBA"/>
    <w:rsid w:val="00DE464A"/>
    <w:rsid w:val="00E0174A"/>
    <w:rsid w:val="00E024B4"/>
    <w:rsid w:val="00E13DA8"/>
    <w:rsid w:val="00E16876"/>
    <w:rsid w:val="00E171B0"/>
    <w:rsid w:val="00E25E63"/>
    <w:rsid w:val="00E376A4"/>
    <w:rsid w:val="00E468BB"/>
    <w:rsid w:val="00E476CB"/>
    <w:rsid w:val="00E55D8D"/>
    <w:rsid w:val="00E56AE4"/>
    <w:rsid w:val="00E6571D"/>
    <w:rsid w:val="00E76213"/>
    <w:rsid w:val="00E83619"/>
    <w:rsid w:val="00E9657E"/>
    <w:rsid w:val="00EA1298"/>
    <w:rsid w:val="00EA4144"/>
    <w:rsid w:val="00EB1EBA"/>
    <w:rsid w:val="00EB3242"/>
    <w:rsid w:val="00EB4F4F"/>
    <w:rsid w:val="00EC20AC"/>
    <w:rsid w:val="00EE3727"/>
    <w:rsid w:val="00F02D4C"/>
    <w:rsid w:val="00F25DA5"/>
    <w:rsid w:val="00F34161"/>
    <w:rsid w:val="00F46F9C"/>
    <w:rsid w:val="00F547C5"/>
    <w:rsid w:val="00F549B4"/>
    <w:rsid w:val="00F55636"/>
    <w:rsid w:val="00F60374"/>
    <w:rsid w:val="00F70F99"/>
    <w:rsid w:val="00F7263F"/>
    <w:rsid w:val="00F766E6"/>
    <w:rsid w:val="00F767E7"/>
    <w:rsid w:val="00F81BEF"/>
    <w:rsid w:val="00F81E10"/>
    <w:rsid w:val="00F85403"/>
    <w:rsid w:val="00F90CAF"/>
    <w:rsid w:val="00F95D4F"/>
    <w:rsid w:val="00FA64F4"/>
    <w:rsid w:val="00FA704D"/>
    <w:rsid w:val="00FB234C"/>
    <w:rsid w:val="00FB2875"/>
    <w:rsid w:val="00FB4476"/>
    <w:rsid w:val="00FD1626"/>
    <w:rsid w:val="00FE205B"/>
    <w:rsid w:val="00FF1230"/>
    <w:rsid w:val="00FF481C"/>
    <w:rsid w:val="013B4E52"/>
    <w:rsid w:val="01BF42C8"/>
    <w:rsid w:val="01C94F06"/>
    <w:rsid w:val="029A0AD3"/>
    <w:rsid w:val="04376014"/>
    <w:rsid w:val="04C66A4C"/>
    <w:rsid w:val="04ED4009"/>
    <w:rsid w:val="051819A3"/>
    <w:rsid w:val="058107B4"/>
    <w:rsid w:val="05E63AFA"/>
    <w:rsid w:val="05F0509D"/>
    <w:rsid w:val="06BC22D3"/>
    <w:rsid w:val="07071C3A"/>
    <w:rsid w:val="07BC5DA8"/>
    <w:rsid w:val="07DD4472"/>
    <w:rsid w:val="07F112D9"/>
    <w:rsid w:val="085A7651"/>
    <w:rsid w:val="085F3B76"/>
    <w:rsid w:val="0955267A"/>
    <w:rsid w:val="095E412C"/>
    <w:rsid w:val="0AB40446"/>
    <w:rsid w:val="0AE07EB2"/>
    <w:rsid w:val="0B7231C5"/>
    <w:rsid w:val="0C3D55FC"/>
    <w:rsid w:val="0E0C5E23"/>
    <w:rsid w:val="0E331BE9"/>
    <w:rsid w:val="0E504823"/>
    <w:rsid w:val="0FC6382D"/>
    <w:rsid w:val="101B2AE5"/>
    <w:rsid w:val="10603610"/>
    <w:rsid w:val="12695837"/>
    <w:rsid w:val="12BC6AC5"/>
    <w:rsid w:val="13AC7334"/>
    <w:rsid w:val="13EF4C21"/>
    <w:rsid w:val="15063413"/>
    <w:rsid w:val="15092215"/>
    <w:rsid w:val="15193906"/>
    <w:rsid w:val="153B572E"/>
    <w:rsid w:val="16905BB1"/>
    <w:rsid w:val="16F04CFE"/>
    <w:rsid w:val="171233FC"/>
    <w:rsid w:val="181F0053"/>
    <w:rsid w:val="1ADD510A"/>
    <w:rsid w:val="1B380C2E"/>
    <w:rsid w:val="1BBA1EAC"/>
    <w:rsid w:val="1C2166BC"/>
    <w:rsid w:val="1C721A9D"/>
    <w:rsid w:val="1D3C5DE9"/>
    <w:rsid w:val="1E41467E"/>
    <w:rsid w:val="1E716E1F"/>
    <w:rsid w:val="1EBC0C6C"/>
    <w:rsid w:val="1F2C286F"/>
    <w:rsid w:val="212A1055"/>
    <w:rsid w:val="2168773A"/>
    <w:rsid w:val="226777DA"/>
    <w:rsid w:val="22A767B8"/>
    <w:rsid w:val="24BD5794"/>
    <w:rsid w:val="24EF608F"/>
    <w:rsid w:val="24F46682"/>
    <w:rsid w:val="258A4082"/>
    <w:rsid w:val="25CC2D70"/>
    <w:rsid w:val="26053B27"/>
    <w:rsid w:val="266004A5"/>
    <w:rsid w:val="26A31F7A"/>
    <w:rsid w:val="26FF5053"/>
    <w:rsid w:val="27AB1275"/>
    <w:rsid w:val="27DB4669"/>
    <w:rsid w:val="28791B7F"/>
    <w:rsid w:val="29050245"/>
    <w:rsid w:val="295014EA"/>
    <w:rsid w:val="2AA019DB"/>
    <w:rsid w:val="2B1D1784"/>
    <w:rsid w:val="2BC35614"/>
    <w:rsid w:val="2BE20443"/>
    <w:rsid w:val="2CAC0C64"/>
    <w:rsid w:val="2D462BAE"/>
    <w:rsid w:val="2D4C5E23"/>
    <w:rsid w:val="2E33779C"/>
    <w:rsid w:val="2E7612AB"/>
    <w:rsid w:val="2F1E7EE1"/>
    <w:rsid w:val="2F3D6655"/>
    <w:rsid w:val="2F537BD2"/>
    <w:rsid w:val="2FFA50C1"/>
    <w:rsid w:val="308426BC"/>
    <w:rsid w:val="30F25E8B"/>
    <w:rsid w:val="30FF5788"/>
    <w:rsid w:val="3163175F"/>
    <w:rsid w:val="32786A1B"/>
    <w:rsid w:val="32BF47A7"/>
    <w:rsid w:val="3363069B"/>
    <w:rsid w:val="33734275"/>
    <w:rsid w:val="33865F0D"/>
    <w:rsid w:val="33E04E71"/>
    <w:rsid w:val="34CA6770"/>
    <w:rsid w:val="352D6A95"/>
    <w:rsid w:val="35450F05"/>
    <w:rsid w:val="354C7325"/>
    <w:rsid w:val="35B04482"/>
    <w:rsid w:val="35F60A75"/>
    <w:rsid w:val="35FB3D9E"/>
    <w:rsid w:val="360A538A"/>
    <w:rsid w:val="3616094C"/>
    <w:rsid w:val="36A97918"/>
    <w:rsid w:val="36ED5CB6"/>
    <w:rsid w:val="376F0B63"/>
    <w:rsid w:val="386E1CD9"/>
    <w:rsid w:val="387F466A"/>
    <w:rsid w:val="38B61AFE"/>
    <w:rsid w:val="38D70243"/>
    <w:rsid w:val="39683333"/>
    <w:rsid w:val="399F03CD"/>
    <w:rsid w:val="39CD2DE5"/>
    <w:rsid w:val="3A771A1B"/>
    <w:rsid w:val="3A8508BC"/>
    <w:rsid w:val="3B151938"/>
    <w:rsid w:val="3B5B73E7"/>
    <w:rsid w:val="3C1B5C19"/>
    <w:rsid w:val="3C4F6D40"/>
    <w:rsid w:val="3CAC1199"/>
    <w:rsid w:val="3D8A116C"/>
    <w:rsid w:val="3E7038CF"/>
    <w:rsid w:val="3F11236D"/>
    <w:rsid w:val="3F6A449B"/>
    <w:rsid w:val="3F8254D0"/>
    <w:rsid w:val="3FB50AF0"/>
    <w:rsid w:val="407033F7"/>
    <w:rsid w:val="40992FFA"/>
    <w:rsid w:val="411023CB"/>
    <w:rsid w:val="41155F3D"/>
    <w:rsid w:val="414230CC"/>
    <w:rsid w:val="41B540C4"/>
    <w:rsid w:val="42137718"/>
    <w:rsid w:val="423450F4"/>
    <w:rsid w:val="42951FEE"/>
    <w:rsid w:val="432F48CD"/>
    <w:rsid w:val="434950A0"/>
    <w:rsid w:val="438855BC"/>
    <w:rsid w:val="43BD78BB"/>
    <w:rsid w:val="43C0150F"/>
    <w:rsid w:val="4409373C"/>
    <w:rsid w:val="441A7B67"/>
    <w:rsid w:val="4431666B"/>
    <w:rsid w:val="44FF7003"/>
    <w:rsid w:val="456D6223"/>
    <w:rsid w:val="45815EB2"/>
    <w:rsid w:val="460F4C3A"/>
    <w:rsid w:val="46486435"/>
    <w:rsid w:val="46E53D28"/>
    <w:rsid w:val="47C26FD2"/>
    <w:rsid w:val="48D94F93"/>
    <w:rsid w:val="48DD23EB"/>
    <w:rsid w:val="4A3E0945"/>
    <w:rsid w:val="4A4F7EDF"/>
    <w:rsid w:val="4A8E6397"/>
    <w:rsid w:val="4B080D49"/>
    <w:rsid w:val="4B33208C"/>
    <w:rsid w:val="4B791144"/>
    <w:rsid w:val="4BC33A62"/>
    <w:rsid w:val="4C5B3ABD"/>
    <w:rsid w:val="4D481567"/>
    <w:rsid w:val="4ED21CB9"/>
    <w:rsid w:val="4F160922"/>
    <w:rsid w:val="4F9A6C7F"/>
    <w:rsid w:val="4FA0177A"/>
    <w:rsid w:val="50F743C9"/>
    <w:rsid w:val="511873ED"/>
    <w:rsid w:val="51751AE9"/>
    <w:rsid w:val="51B9597A"/>
    <w:rsid w:val="52B4604A"/>
    <w:rsid w:val="53413E06"/>
    <w:rsid w:val="53823846"/>
    <w:rsid w:val="53A327B6"/>
    <w:rsid w:val="53EF3A29"/>
    <w:rsid w:val="54155354"/>
    <w:rsid w:val="541C0CCB"/>
    <w:rsid w:val="547C15D6"/>
    <w:rsid w:val="54EB7A2A"/>
    <w:rsid w:val="553E4EBD"/>
    <w:rsid w:val="567F2886"/>
    <w:rsid w:val="56A85AD2"/>
    <w:rsid w:val="56B378D3"/>
    <w:rsid w:val="570A62EE"/>
    <w:rsid w:val="59962B41"/>
    <w:rsid w:val="5A3B33FE"/>
    <w:rsid w:val="5AAB5E19"/>
    <w:rsid w:val="5AB954EB"/>
    <w:rsid w:val="5BE10DAD"/>
    <w:rsid w:val="5C6F4072"/>
    <w:rsid w:val="5C8F27B1"/>
    <w:rsid w:val="5D8243CE"/>
    <w:rsid w:val="5E0B46B2"/>
    <w:rsid w:val="5E543694"/>
    <w:rsid w:val="5EAF6915"/>
    <w:rsid w:val="5EDC0861"/>
    <w:rsid w:val="5FC34580"/>
    <w:rsid w:val="5FD45C2D"/>
    <w:rsid w:val="60763E8C"/>
    <w:rsid w:val="608974A1"/>
    <w:rsid w:val="60B7657B"/>
    <w:rsid w:val="616D60AD"/>
    <w:rsid w:val="62213180"/>
    <w:rsid w:val="63D35BDF"/>
    <w:rsid w:val="63D70948"/>
    <w:rsid w:val="63D90AB3"/>
    <w:rsid w:val="641D1C44"/>
    <w:rsid w:val="645F20BC"/>
    <w:rsid w:val="64AC3078"/>
    <w:rsid w:val="65411504"/>
    <w:rsid w:val="65C23C89"/>
    <w:rsid w:val="666C41C6"/>
    <w:rsid w:val="6761224E"/>
    <w:rsid w:val="67764BE1"/>
    <w:rsid w:val="67C54B9B"/>
    <w:rsid w:val="687E3A2E"/>
    <w:rsid w:val="69012138"/>
    <w:rsid w:val="696778B1"/>
    <w:rsid w:val="69DE77D1"/>
    <w:rsid w:val="6A155756"/>
    <w:rsid w:val="6BB06E44"/>
    <w:rsid w:val="6BB83D96"/>
    <w:rsid w:val="6C02178B"/>
    <w:rsid w:val="6C077533"/>
    <w:rsid w:val="6C5F6786"/>
    <w:rsid w:val="6D2A7805"/>
    <w:rsid w:val="6D95238C"/>
    <w:rsid w:val="6DA11E30"/>
    <w:rsid w:val="6E33563D"/>
    <w:rsid w:val="6E412C14"/>
    <w:rsid w:val="6E7B5F51"/>
    <w:rsid w:val="6EC13797"/>
    <w:rsid w:val="6EFF266C"/>
    <w:rsid w:val="6F1E2CE7"/>
    <w:rsid w:val="6F436CF0"/>
    <w:rsid w:val="6F5F2458"/>
    <w:rsid w:val="6FF024AA"/>
    <w:rsid w:val="706D2657"/>
    <w:rsid w:val="70882654"/>
    <w:rsid w:val="711651F4"/>
    <w:rsid w:val="71E15375"/>
    <w:rsid w:val="72995ACF"/>
    <w:rsid w:val="72DC3754"/>
    <w:rsid w:val="73071B8B"/>
    <w:rsid w:val="73FE84B7"/>
    <w:rsid w:val="74412D2F"/>
    <w:rsid w:val="74F123EA"/>
    <w:rsid w:val="75164B01"/>
    <w:rsid w:val="75363811"/>
    <w:rsid w:val="75B77126"/>
    <w:rsid w:val="75C22FF3"/>
    <w:rsid w:val="762834F3"/>
    <w:rsid w:val="76B02EE1"/>
    <w:rsid w:val="77541226"/>
    <w:rsid w:val="77A6646B"/>
    <w:rsid w:val="78C534D6"/>
    <w:rsid w:val="78F07CAB"/>
    <w:rsid w:val="790F2835"/>
    <w:rsid w:val="79437657"/>
    <w:rsid w:val="79AF3492"/>
    <w:rsid w:val="7B1428C7"/>
    <w:rsid w:val="7B9D75FA"/>
    <w:rsid w:val="7BF20574"/>
    <w:rsid w:val="7D484234"/>
    <w:rsid w:val="7D53511A"/>
    <w:rsid w:val="7E5B7C76"/>
    <w:rsid w:val="7EA156CC"/>
    <w:rsid w:val="7EB61F29"/>
    <w:rsid w:val="7EB84DE5"/>
    <w:rsid w:val="7F2A01F7"/>
    <w:rsid w:val="7F4D53D1"/>
    <w:rsid w:val="7F8A6028"/>
    <w:rsid w:val="7FEF7E7E"/>
    <w:rsid w:val="DFF30614"/>
    <w:rsid w:val="EF76E32B"/>
    <w:rsid w:val="FFFF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eastAsia="黑体" w:cstheme="minorBidi"/>
      <w:b/>
      <w:bCs/>
      <w:kern w:val="44"/>
      <w:sz w:val="36"/>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0"/>
    <w:pPr>
      <w:jc w:val="left"/>
    </w:pPr>
  </w:style>
  <w:style w:type="paragraph" w:styleId="4">
    <w:name w:val="Body Text"/>
    <w:basedOn w:val="1"/>
    <w:link w:val="26"/>
    <w:qFormat/>
    <w:uiPriority w:val="1"/>
    <w:pPr>
      <w:autoSpaceDE w:val="0"/>
      <w:autoSpaceDN w:val="0"/>
      <w:jc w:val="left"/>
    </w:pPr>
    <w:rPr>
      <w:rFonts w:ascii="宋体" w:hAnsi="宋体" w:eastAsia="宋体" w:cs="宋体"/>
      <w:kern w:val="0"/>
      <w:sz w:val="21"/>
      <w:szCs w:val="21"/>
    </w:rPr>
  </w:style>
  <w:style w:type="paragraph" w:styleId="5">
    <w:name w:val="Balloon Text"/>
    <w:basedOn w:val="1"/>
    <w:link w:val="32"/>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basedOn w:val="12"/>
    <w:semiHidden/>
    <w:unhideWhenUsed/>
    <w:qFormat/>
    <w:uiPriority w:val="99"/>
  </w:style>
  <w:style w:type="character" w:styleId="15">
    <w:name w:val="Hyperlink"/>
    <w:basedOn w:val="12"/>
    <w:semiHidden/>
    <w:unhideWhenUsed/>
    <w:qFormat/>
    <w:uiPriority w:val="99"/>
    <w:rPr>
      <w:color w:val="0000FF"/>
      <w:u w:val="single"/>
    </w:rPr>
  </w:style>
  <w:style w:type="character" w:styleId="16">
    <w:name w:val="annotation reference"/>
    <w:basedOn w:val="12"/>
    <w:unhideWhenUsed/>
    <w:qFormat/>
    <w:uiPriority w:val="0"/>
    <w:rPr>
      <w:sz w:val="21"/>
      <w:szCs w:val="21"/>
    </w:rPr>
  </w:style>
  <w:style w:type="character" w:customStyle="1" w:styleId="17">
    <w:name w:val="标题 1 Char"/>
    <w:basedOn w:val="12"/>
    <w:link w:val="2"/>
    <w:qFormat/>
    <w:uiPriority w:val="0"/>
    <w:rPr>
      <w:rFonts w:ascii="Times New Roman" w:hAnsi="Times New Roman" w:eastAsia="黑体"/>
      <w:b/>
      <w:bCs/>
      <w:kern w:val="44"/>
      <w:sz w:val="36"/>
      <w:szCs w:val="44"/>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批注文字 Char"/>
    <w:basedOn w:val="12"/>
    <w:link w:val="3"/>
    <w:qFormat/>
    <w:uiPriority w:val="0"/>
    <w:rPr>
      <w:rFonts w:ascii="Times New Roman" w:hAnsi="Times New Roman" w:eastAsia="仿宋" w:cs="Times New Roman"/>
      <w:sz w:val="32"/>
      <w:szCs w:val="24"/>
    </w:rPr>
  </w:style>
  <w:style w:type="character" w:customStyle="1" w:styleId="20">
    <w:name w:val="批注主题 Char"/>
    <w:basedOn w:val="19"/>
    <w:link w:val="9"/>
    <w:semiHidden/>
    <w:qFormat/>
    <w:uiPriority w:val="99"/>
    <w:rPr>
      <w:rFonts w:ascii="Times New Roman" w:hAnsi="Times New Roman" w:eastAsia="仿宋" w:cs="Times New Roman"/>
      <w:b/>
      <w:bCs/>
      <w:sz w:val="32"/>
      <w:szCs w:val="24"/>
    </w:rPr>
  </w:style>
  <w:style w:type="paragraph" w:styleId="21">
    <w:name w:val="List Paragraph"/>
    <w:basedOn w:val="1"/>
    <w:qFormat/>
    <w:uiPriority w:val="34"/>
    <w:pPr>
      <w:ind w:firstLine="420" w:firstLineChars="200"/>
    </w:pPr>
  </w:style>
  <w:style w:type="character" w:customStyle="1" w:styleId="22">
    <w:name w:val="页眉 Char"/>
    <w:basedOn w:val="12"/>
    <w:link w:val="7"/>
    <w:qFormat/>
    <w:uiPriority w:val="99"/>
    <w:rPr>
      <w:rFonts w:ascii="Times New Roman" w:hAnsi="Times New Roman" w:eastAsia="仿宋" w:cs="Times New Roman"/>
      <w:sz w:val="18"/>
      <w:szCs w:val="18"/>
    </w:rPr>
  </w:style>
  <w:style w:type="character" w:customStyle="1" w:styleId="23">
    <w:name w:val="页脚 Char"/>
    <w:basedOn w:val="12"/>
    <w:link w:val="6"/>
    <w:qFormat/>
    <w:uiPriority w:val="99"/>
    <w:rPr>
      <w:rFonts w:ascii="Times New Roman" w:hAnsi="Times New Roman" w:eastAsia="仿宋" w:cs="Times New Roman"/>
      <w:sz w:val="18"/>
      <w:szCs w:val="18"/>
    </w:rPr>
  </w:style>
  <w:style w:type="paragraph" w:customStyle="1" w:styleId="24">
    <w:name w:val="修订1"/>
    <w:hidden/>
    <w:semiHidden/>
    <w:qFormat/>
    <w:uiPriority w:val="99"/>
    <w:rPr>
      <w:rFonts w:ascii="Times New Roman" w:hAnsi="Times New Roman" w:eastAsia="仿宋" w:cs="Times New Roman"/>
      <w:kern w:val="2"/>
      <w:sz w:val="32"/>
      <w:szCs w:val="24"/>
      <w:lang w:val="en-US" w:eastAsia="zh-CN" w:bidi="ar-SA"/>
    </w:rPr>
  </w:style>
  <w:style w:type="paragraph" w:customStyle="1" w:styleId="25">
    <w:name w:val="Table Paragraph"/>
    <w:basedOn w:val="1"/>
    <w:qFormat/>
    <w:uiPriority w:val="1"/>
    <w:pPr>
      <w:autoSpaceDE w:val="0"/>
      <w:autoSpaceDN w:val="0"/>
      <w:jc w:val="left"/>
    </w:pPr>
    <w:rPr>
      <w:rFonts w:ascii="宋体" w:hAnsi="宋体" w:eastAsia="宋体" w:cs="宋体"/>
      <w:kern w:val="0"/>
      <w:sz w:val="22"/>
      <w:szCs w:val="22"/>
    </w:rPr>
  </w:style>
  <w:style w:type="character" w:customStyle="1" w:styleId="26">
    <w:name w:val="正文文本 Char"/>
    <w:basedOn w:val="12"/>
    <w:link w:val="4"/>
    <w:qFormat/>
    <w:uiPriority w:val="1"/>
    <w:rPr>
      <w:rFonts w:ascii="宋体" w:hAnsi="宋体" w:eastAsia="宋体" w:cs="宋体"/>
      <w:kern w:val="0"/>
      <w:szCs w:val="21"/>
    </w:rPr>
  </w:style>
  <w:style w:type="paragraph" w:customStyle="1" w:styleId="27">
    <w:name w:val="列表段落1"/>
    <w:basedOn w:val="1"/>
    <w:qFormat/>
    <w:uiPriority w:val="1"/>
    <w:pPr>
      <w:autoSpaceDE w:val="0"/>
      <w:autoSpaceDN w:val="0"/>
      <w:ind w:left="298"/>
      <w:jc w:val="left"/>
    </w:pPr>
    <w:rPr>
      <w:rFonts w:ascii="宋体" w:hAnsi="宋体" w:eastAsia="宋体" w:cs="宋体"/>
      <w:kern w:val="0"/>
      <w:sz w:val="22"/>
      <w:szCs w:val="22"/>
    </w:rPr>
  </w:style>
  <w:style w:type="paragraph" w:customStyle="1" w:styleId="28">
    <w:name w:val="可研正文"/>
    <w:basedOn w:val="1"/>
    <w:link w:val="29"/>
    <w:qFormat/>
    <w:uiPriority w:val="0"/>
    <w:pPr>
      <w:spacing w:line="360" w:lineRule="auto"/>
      <w:ind w:firstLine="560" w:firstLineChars="200"/>
    </w:pPr>
    <w:rPr>
      <w:rFonts w:ascii="仿宋" w:hAnsi="仿宋" w:eastAsia="宋体" w:cstheme="minorBidi"/>
      <w:sz w:val="28"/>
      <w:szCs w:val="28"/>
    </w:rPr>
  </w:style>
  <w:style w:type="character" w:customStyle="1" w:styleId="29">
    <w:name w:val="可研正文 Char"/>
    <w:link w:val="28"/>
    <w:qFormat/>
    <w:uiPriority w:val="0"/>
    <w:rPr>
      <w:rFonts w:ascii="仿宋" w:hAnsi="仿宋" w:eastAsia="宋体"/>
      <w:sz w:val="28"/>
      <w:szCs w:val="28"/>
    </w:rPr>
  </w:style>
  <w:style w:type="table" w:customStyle="1" w:styleId="30">
    <w:name w:val="网格型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1">
    <w:name w:val="apple-converted-space"/>
    <w:basedOn w:val="12"/>
    <w:qFormat/>
    <w:uiPriority w:val="0"/>
  </w:style>
  <w:style w:type="character" w:customStyle="1" w:styleId="32">
    <w:name w:val="批注框文本 Char"/>
    <w:basedOn w:val="12"/>
    <w:link w:val="5"/>
    <w:semiHidden/>
    <w:qFormat/>
    <w:uiPriority w:val="99"/>
    <w:rPr>
      <w:rFonts w:ascii="Times New Roman" w:hAnsi="Times New Roman" w:eastAsia="仿宋" w:cs="Times New Roman"/>
      <w:sz w:val="18"/>
      <w:szCs w:val="18"/>
    </w:rPr>
  </w:style>
  <w:style w:type="character" w:customStyle="1" w:styleId="33">
    <w:name w:val="editor-vad"/>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240</Words>
  <Characters>1373</Characters>
  <Lines>11</Lines>
  <Paragraphs>3</Paragraphs>
  <TotalTime>150</TotalTime>
  <ScaleCrop>false</ScaleCrop>
  <LinksUpToDate>false</LinksUpToDate>
  <CharactersWithSpaces>1610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2021-06-22T17:38:00Z</dcterms:created>
  <dc:creator>HuaWei</dc:creator>
  <cp:lastModifiedBy>叮咚叮咚叮</cp:lastModifiedBy>
  <cp:lastPrinted>2021-07-01T17:43:00Z</cp:lastPrinted>
  <dcterms:modified xsi:type="dcterms:W3CDTF">2022-03-24T01:03:41Z</dcterms:modified>
  <dc:title>婴幼儿配方乳粉生产许可审查细则</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67B9C23E5F1F44C6AB4621E9ED5D957E</vt:lpwstr>
  </property>
</Properties>
</file>