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bookmarkStart w:id="0" w:name="_GoBack"/>
      <w:bookmarkEnd w:id="0"/>
      <w:r>
        <w:rPr>
          <w:rFonts w:hint="eastAsia" w:cs="仿宋_GB2312"/>
          <w:bCs/>
          <w:sz w:val="24"/>
        </w:rPr>
        <w:t>中文名称：保健食品原料目录 西洋参（征求意见稿）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英文名称：</w:t>
      </w:r>
      <w:r>
        <w:rPr>
          <w:rFonts w:cs="仿宋_GB2312"/>
          <w:bCs/>
          <w:sz w:val="24"/>
        </w:rPr>
        <w:t>Health Food Raw Materials Directory of Panacis quinquefolii radix (Draft)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发布时间：</w:t>
      </w:r>
      <w:r>
        <w:rPr>
          <w:rFonts w:cs="仿宋_GB2312"/>
          <w:bCs/>
          <w:sz w:val="24"/>
        </w:rPr>
        <w:t>2022/10/25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截止时间：</w:t>
      </w:r>
      <w:r>
        <w:rPr>
          <w:rFonts w:cs="仿宋_GB2312"/>
          <w:bCs/>
          <w:sz w:val="24"/>
        </w:rPr>
        <w:t>2022/11/25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发布单位：国家市场监督管理总局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429" w:lineRule="exact"/>
        <w:jc w:val="center"/>
        <w:rPr>
          <w:rFonts w:ascii="黑体" w:hAnsi="黑体" w:eastAsia="黑体" w:cs="Times New Roman"/>
          <w:kern w:val="0"/>
          <w:sz w:val="20"/>
          <w:szCs w:val="20"/>
        </w:rPr>
      </w:pPr>
      <w:r>
        <w:rPr>
          <w:rFonts w:ascii="黑体" w:hAnsi="黑体" w:eastAsia="黑体" w:cs="Arial Unicode MS"/>
          <w:kern w:val="0"/>
          <w:sz w:val="32"/>
          <w:szCs w:val="32"/>
        </w:rPr>
        <w:t xml:space="preserve">《保健食品原料目录 </w:t>
      </w:r>
      <w:r>
        <w:rPr>
          <w:rFonts w:hint="eastAsia" w:ascii="黑体" w:hAnsi="黑体" w:eastAsia="黑体" w:cs="Arial Unicode MS"/>
          <w:kern w:val="0"/>
          <w:sz w:val="32"/>
          <w:szCs w:val="32"/>
        </w:rPr>
        <w:t>西洋参（征求意见稿）</w:t>
      </w:r>
      <w:r>
        <w:rPr>
          <w:rFonts w:ascii="黑体" w:hAnsi="黑体" w:eastAsia="黑体" w:cs="Arial Unicode MS"/>
          <w:kern w:val="0"/>
          <w:sz w:val="32"/>
          <w:szCs w:val="32"/>
        </w:rPr>
        <w:t>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35"/>
        <w:gridCol w:w="2409"/>
        <w:gridCol w:w="2410"/>
        <w:gridCol w:w="283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原料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0489" w:type="dxa"/>
            <w:gridSpan w:val="4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每日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用量</w:t>
            </w:r>
          </w:p>
        </w:tc>
        <w:tc>
          <w:tcPr>
            <w:tcW w:w="1843" w:type="dxa"/>
            <w:vMerge w:val="restart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功效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5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用量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范围</w:t>
            </w:r>
          </w:p>
        </w:tc>
        <w:tc>
          <w:tcPr>
            <w:tcW w:w="2409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适宜人群</w:t>
            </w: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不适宜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群</w:t>
            </w: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注意事项</w:t>
            </w:r>
          </w:p>
        </w:tc>
        <w:tc>
          <w:tcPr>
            <w:tcW w:w="1843" w:type="dxa"/>
            <w:vMerge w:val="continue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55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西洋参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1.5-3g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易疲劳者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少年儿童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孕妇、乳母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湿热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体质、阳虚体质者</w:t>
            </w:r>
          </w:p>
        </w:tc>
        <w:tc>
          <w:tcPr>
            <w:tcW w:w="2835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不宜与含有藜芦的中成药同用。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感冒、舌苔厚腻者不推荐使用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缓解体力疲劳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55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免疫力低下者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增强免疫力</w:t>
            </w:r>
          </w:p>
        </w:tc>
      </w:tr>
    </w:tbl>
    <w:p>
      <w:pPr>
        <w:widowControl/>
        <w:jc w:val="left"/>
        <w:rPr>
          <w:rFonts w:hint="eastAsia" w:ascii="Times New Roman" w:hAnsi="Times New Roman" w:cs="Times New Roman"/>
          <w:kern w:val="0"/>
          <w:sz w:val="22"/>
          <w:szCs w:val="22"/>
        </w:rPr>
      </w:pPr>
    </w:p>
    <w:p>
      <w:pPr>
        <w:widowControl/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kern w:val="0"/>
          <w:sz w:val="22"/>
          <w:szCs w:val="22"/>
        </w:rPr>
        <w:br w:type="page"/>
      </w:r>
    </w:p>
    <w:p>
      <w:pPr>
        <w:widowControl/>
        <w:spacing w:line="118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>
      <w:pPr>
        <w:widowControl/>
        <w:spacing w:line="429" w:lineRule="exact"/>
        <w:ind w:firstLine="3200" w:firstLineChars="1000"/>
        <w:jc w:val="left"/>
        <w:rPr>
          <w:rFonts w:ascii="Times New Roman" w:hAnsi="Times New Roman" w:eastAsia="方正小标宋简体" w:cs="方正小标宋简体"/>
          <w:bCs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Cs/>
          <w:sz w:val="32"/>
          <w:szCs w:val="32"/>
        </w:rPr>
        <w:t>西洋</w:t>
      </w:r>
      <w:r>
        <w:rPr>
          <w:rFonts w:ascii="Times New Roman" w:hAnsi="Times New Roman" w:eastAsia="方正小标宋简体" w:cs="方正小标宋简体"/>
          <w:bCs/>
          <w:sz w:val="32"/>
          <w:szCs w:val="32"/>
        </w:rPr>
        <w:t>参原料技术要求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【来源】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五加科植物西洋参（Panax quinquefolium L.）的干燥根。均系栽培品，秋季采挖，洗净，晒干或低温干燥。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</w:t>
      </w:r>
      <w:r>
        <w:rPr>
          <w:rFonts w:ascii="Times New Roman" w:hAnsi="Times New Roman" w:cs="Times New Roman"/>
        </w:rPr>
        <w:t>感官要求】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应符合表 1 规定。</w:t>
      </w:r>
    </w:p>
    <w:p>
      <w:pPr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表 1 感官指标</w:t>
      </w:r>
    </w:p>
    <w:tbl>
      <w:tblPr>
        <w:tblStyle w:val="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6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项目</w:t>
            </w:r>
          </w:p>
        </w:tc>
        <w:tc>
          <w:tcPr>
            <w:tcW w:w="63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色泽</w:t>
            </w:r>
          </w:p>
        </w:tc>
        <w:tc>
          <w:tcPr>
            <w:tcW w:w="631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全体表面呈浅黄褐色或黄白色。断面浅黄白色。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滋味</w:t>
            </w:r>
            <w:r>
              <w:rPr>
                <w:rFonts w:ascii="Times New Roman" w:hAnsi="Times New Roman" w:eastAsia="宋体" w:cs="Times New Roman"/>
              </w:rPr>
              <w:t>、气味</w:t>
            </w:r>
          </w:p>
        </w:tc>
        <w:tc>
          <w:tcPr>
            <w:tcW w:w="631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气微而特异，味微苦、甘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状态</w:t>
            </w:r>
          </w:p>
        </w:tc>
        <w:tc>
          <w:tcPr>
            <w:tcW w:w="631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本品呈纺锤形、圆柱形或圆锥形，长 3～12cm，直径 0.8～2cm。表面可见横向环纹和线形皮孔状突起，并有细密浅纵皱纹和须根痕。主根中下部有一至数条侧根，多已折断。有的上端有根茎（芦头），环节明显，茎痕（芦碗）圆形或半圆形，具不定根（艼）或已折断。体重，质坚实，不易折断。无虫蛀、霉变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断面平坦，略显粉性，皮部可见黄棕色点状树脂道，形成层环纹棕黄色，木部略呈放射状纹理。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【鉴别】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显微</w:t>
      </w:r>
      <w:r>
        <w:rPr>
          <w:rFonts w:ascii="Times New Roman" w:hAnsi="Times New Roman" w:cs="Times New Roman"/>
        </w:rPr>
        <w:t>鉴别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>
        <w:rPr>
          <w:rFonts w:hint="eastAsia" w:ascii="Times New Roman" w:hAnsi="Times New Roman" w:cs="Times New Roman"/>
        </w:rPr>
        <w:t>横切面：木栓层由 6-8 列切向延长的细胞组成，外部数层细胞常脱落。皮层薄壁细胞 10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余列，细胞内含草酸钙簇晶，皮层散有树脂道，周围有 5-11 个分泌细胞。韧皮部树脂道众多，常排列成 1-3 个同心环，外侧射线中常有裂隙。形成层环明显。木质部导管常单个成 2-10 个群，径向断续排列，导管木化或微木化，射线细胞 1-4 列。薄壁细胞含淀粉粒。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>
        <w:rPr>
          <w:rFonts w:hint="eastAsia" w:ascii="Times New Roman" w:hAnsi="Times New Roman" w:cs="Times New Roman"/>
        </w:rPr>
        <w:t>粉末：淡褐色或淡黄白色。树脂道从断面观呈管道状，内含大量金黄色油滴状分泌物和少量橘红色条块状分泌物。草酸钙簇晶较多，直径 8-91μm，偏光显微镜下呈亮多彩状。木栓细胞无色、淡黄色或淡黄棕色，类多角形或类方形，垂周壁薄，波状弯曲。导管主要为网纹，梯纹导管，另有环纹及螺纹导管。淀粉粒单粒类圆形至卵形，直径 2-28μm，脐点人字形、点状或裂隙状，层纹明显；复粒较少，2-9 分粒组成，偏光显微镜下呈黑十字状。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理化鉴别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取本品粉末 l g，加甲醇 25 mL，加热回流 30 分钟，滤过，滤液蒸干，残渣加水 20 mL使溶解，加水饱和的正丁醇振摇提取 2 次，每次 25 mL，合并正丁醇提取液，用水洗涤 2 次，每次 10 mL，分取正丁醇液，蒸干，残渣加甲醇 4 mL 使溶解，作为供试品溶液。另取西洋参对照药材 l g，同法制成对照药材溶液。再取拟人参皂苷 F11 对照品、人参皂苷 Rb1 对照品、人参皂苷 Re 对照品、人参皂苷 Rgl 对照品，加甲醇制成每 l mL 各含 2 mg 的溶液，作为对照品溶液。照薄层色谱法（通则 0502）试验，吸取上述六种溶液各 2μL，分别点于同一硅胶</w:t>
      </w:r>
      <w:r>
        <w:rPr>
          <w:rFonts w:ascii="Times New Roman" w:hAnsi="Times New Roman" w:cs="Times New Roman"/>
        </w:rPr>
        <w:t xml:space="preserve"> G </w:t>
      </w:r>
      <w:r>
        <w:rPr>
          <w:rFonts w:hint="eastAsia" w:ascii="Times New Roman" w:hAnsi="Times New Roman" w:cs="Times New Roman"/>
        </w:rPr>
        <w:t>薄层板上，以三氯甲烷</w:t>
      </w:r>
      <w:r>
        <w:rPr>
          <w:rFonts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</w:rPr>
        <w:t>乙酸乙酯</w:t>
      </w:r>
      <w:r>
        <w:rPr>
          <w:rFonts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</w:rPr>
        <w:t>甲醇</w:t>
      </w:r>
      <w:r>
        <w:rPr>
          <w:rFonts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</w:rPr>
        <w:t>水（</w:t>
      </w:r>
      <w:r>
        <w:rPr>
          <w:rFonts w:ascii="Times New Roman" w:hAnsi="Times New Roman" w:cs="Times New Roman"/>
        </w:rPr>
        <w:t>15:40:22:10</w:t>
      </w:r>
      <w:r>
        <w:rPr>
          <w:rFonts w:hint="eastAsia"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5</w:t>
      </w:r>
      <w:r>
        <w:rPr>
          <w:rFonts w:hint="eastAsia" w:ascii="MS Mincho" w:hAnsi="MS Mincho" w:eastAsia="MS Mincho" w:cs="MS Mincho"/>
        </w:rPr>
        <w:t>〜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</w:rPr>
        <w:t>℃放置</w:t>
      </w:r>
      <w:r>
        <w:rPr>
          <w:rFonts w:ascii="Times New Roman" w:hAnsi="Times New Roman" w:cs="Times New Roman"/>
        </w:rPr>
        <w:t xml:space="preserve"> 12 </w:t>
      </w:r>
      <w:r>
        <w:rPr>
          <w:rFonts w:hint="eastAsia" w:ascii="Times New Roman" w:hAnsi="Times New Roman" w:cs="Times New Roman"/>
        </w:rPr>
        <w:t>小时的下层溶液为展开剂，展开，取出，晾干，喷以 10%硫酸乙醇溶液，在 105℃加热至斑点显色清晰，分别置日光和紫外光灯（365 nm）下检视。供试品色谱中，在与对照药材色谱和对照品色谱相应的位置上，分别显相同颜色的斑点或荧光斑点。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【理化指标】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应符合表 2 规定。</w:t>
      </w:r>
    </w:p>
    <w:p>
      <w:pPr>
        <w:spacing w:line="360" w:lineRule="auto"/>
        <w:ind w:firstLine="390"/>
        <w:jc w:val="center"/>
        <w:rPr>
          <w:rFonts w:ascii="Times New Roman" w:hAnsi="Times New Roman" w:eastAsia="宋体" w:cs="Times New Roman"/>
          <w:color w:val="000000"/>
          <w:spacing w:val="-4"/>
        </w:rPr>
      </w:pPr>
      <w:r>
        <w:rPr>
          <w:rFonts w:hint="eastAsia" w:ascii="Times New Roman" w:hAnsi="Times New Roman" w:eastAsia="宋体" w:cs="Times New Roman"/>
          <w:color w:val="000000"/>
          <w:spacing w:val="-4"/>
        </w:rPr>
        <w:t>表2 理化指标</w:t>
      </w:r>
    </w:p>
    <w:tbl>
      <w:tblPr>
        <w:tblStyle w:val="3"/>
        <w:tblW w:w="8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1984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指标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检测</w:t>
            </w:r>
            <w:r>
              <w:rPr>
                <w:rFonts w:ascii="宋体" w:hAnsi="宋体" w:eastAsia="宋体" w:cs="宋体"/>
                <w:kern w:val="0"/>
                <w:szCs w:val="21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水分，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%            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13.0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灰分，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%            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5.0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铅（以Pb计），mg/kg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2.0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GB </w:t>
            </w: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总砷（以As计），mg/kg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.0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GB5009.11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总汞（以</w:t>
            </w:r>
            <w:r>
              <w:rPr>
                <w:rFonts w:ascii="宋体" w:hAnsi="宋体" w:eastAsia="宋体" w:cs="宋体"/>
                <w:kern w:val="0"/>
                <w:szCs w:val="21"/>
              </w:rPr>
              <w:t>Hg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计），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mg/kg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0.2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镉（以</w:t>
            </w:r>
            <w:r>
              <w:rPr>
                <w:rFonts w:ascii="宋体" w:hAnsi="宋体" w:eastAsia="宋体" w:cs="宋体"/>
                <w:kern w:val="0"/>
                <w:szCs w:val="21"/>
              </w:rPr>
              <w:t>Cd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计），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mg/kg            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1.0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铜</w:t>
            </w:r>
            <w:r>
              <w:rPr>
                <w:rFonts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以Cu计</w:t>
            </w:r>
            <w:r>
              <w:rPr>
                <w:rFonts w:ascii="宋体" w:hAnsi="宋体" w:eastAsia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mg/kg            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5009.13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【农药</w:t>
      </w:r>
      <w:r>
        <w:rPr>
          <w:rFonts w:ascii="Times New Roman" w:hAnsi="Times New Roman" w:cs="Times New Roman"/>
        </w:rPr>
        <w:t>残留</w:t>
      </w:r>
      <w:r>
        <w:rPr>
          <w:rFonts w:hint="eastAsia" w:ascii="Times New Roman" w:hAnsi="Times New Roman" w:cs="Times New Roman"/>
        </w:rPr>
        <w:t>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应符合表</w:t>
      </w: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</w:rPr>
        <w:t>规定。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表3 </w:t>
      </w:r>
      <w:r>
        <w:rPr>
          <w:rFonts w:hint="eastAsia" w:ascii="Times New Roman" w:hAnsi="Times New Roman" w:eastAsia="宋体" w:cs="Times New Roman"/>
        </w:rPr>
        <w:t>农药残留</w:t>
      </w:r>
      <w:r>
        <w:rPr>
          <w:rFonts w:ascii="Times New Roman" w:hAnsi="Times New Roman" w:eastAsia="宋体" w:cs="Times New Roman"/>
        </w:rPr>
        <w:t>指标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816"/>
        <w:gridCol w:w="1211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农药名称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残留物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最大残留量mg/kg</w:t>
            </w:r>
          </w:p>
        </w:tc>
        <w:tc>
          <w:tcPr>
            <w:tcW w:w="2609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苯醚甲环唑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苯醚甲环唑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</w:t>
            </w:r>
          </w:p>
        </w:tc>
        <w:tc>
          <w:tcPr>
            <w:tcW w:w="2609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丙环唑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丙环唑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</w:t>
            </w:r>
          </w:p>
        </w:tc>
        <w:tc>
          <w:tcPr>
            <w:tcW w:w="2609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甲霜灵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甲霜灵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609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氯氟氰菊酯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氯氟氰菊酯(异构体之和)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609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232008、GB23200.113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嘧霉胺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嘧霉胺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609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杀扑磷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杀扑磷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2609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  <w:r>
              <w:rPr>
                <w:rFonts w:hint="eastAsia"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GB 23200.116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戊唑</w:t>
            </w:r>
            <w:r>
              <w:rPr>
                <w:rFonts w:ascii="Times New Roman" w:hAnsi="Times New Roman" w:cs="Times New Roman"/>
              </w:rPr>
              <w:t>醇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戊唑</w:t>
            </w:r>
            <w:r>
              <w:rPr>
                <w:rFonts w:ascii="Times New Roman" w:hAnsi="Times New Roman" w:cs="Times New Roman"/>
              </w:rPr>
              <w:t>醇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2609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GB 23200.113、GB </w:t>
            </w:r>
            <w:r>
              <w:rPr>
                <w:rFonts w:ascii="Times New Roman" w:hAnsi="Times New Roman" w:cs="Times New Roman"/>
              </w:rPr>
              <w:t>/T20770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烯酰</w:t>
            </w:r>
            <w:r>
              <w:rPr>
                <w:rFonts w:ascii="Times New Roman" w:hAnsi="Times New Roman" w:cs="Times New Roman"/>
              </w:rPr>
              <w:t>吗啉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烯酰吗啉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0. 1</w:t>
            </w:r>
          </w:p>
        </w:tc>
        <w:tc>
          <w:tcPr>
            <w:tcW w:w="2609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GB </w:t>
            </w:r>
            <w:r>
              <w:rPr>
                <w:rFonts w:ascii="Times New Roman" w:hAnsi="Times New Roman" w:cs="Times New Roman"/>
              </w:rPr>
              <w:t>/T20769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硫丹</w:t>
            </w:r>
          </w:p>
        </w:tc>
        <w:tc>
          <w:tcPr>
            <w:tcW w:w="281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α-硫丹和β-硫丹及硫丹硫酸酯之和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2609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GB/T 500919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七氯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七氯、环氧七氯之和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2609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《中华人民共和国药典》2020 年版通则0521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五氯硝基苯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五氯硝基苯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0.10</w:t>
            </w:r>
          </w:p>
        </w:tc>
        <w:tc>
          <w:tcPr>
            <w:tcW w:w="2609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《中华人民共和国药典》2020 年版通则0521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六氯苯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六氯苯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0.10</w:t>
            </w:r>
          </w:p>
        </w:tc>
        <w:tc>
          <w:tcPr>
            <w:tcW w:w="2609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《中华人民共和国药典》2020 年版通则0521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氯丹</w:t>
            </w:r>
          </w:p>
        </w:tc>
        <w:tc>
          <w:tcPr>
            <w:tcW w:w="281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顺式氯丹、反式氯丹、氧化氯丹之和</w:t>
            </w:r>
          </w:p>
        </w:tc>
        <w:tc>
          <w:tcPr>
            <w:tcW w:w="1211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0.10</w:t>
            </w:r>
          </w:p>
        </w:tc>
        <w:tc>
          <w:tcPr>
            <w:tcW w:w="2609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《中华人民共和国药典》2020 年版通则0521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六</w:t>
            </w:r>
            <w:r>
              <w:rPr>
                <w:rFonts w:ascii="Times New Roman" w:hAnsi="Times New Roman" w:cs="Times New Roman"/>
              </w:rPr>
              <w:t>六六</w:t>
            </w:r>
          </w:p>
        </w:tc>
        <w:tc>
          <w:tcPr>
            <w:tcW w:w="281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α</w:t>
            </w:r>
            <w:r>
              <w:rPr>
                <w:rFonts w:ascii="Times New Roman" w:hAnsi="Times New Roman" w:cs="Times New Roman"/>
              </w:rPr>
              <w:t>-六六六、β-六六六，γ-六六六，</w:t>
            </w:r>
            <w:r>
              <w:rPr>
                <w:rFonts w:hint="eastAsia" w:ascii="Times New Roman" w:hAnsi="Times New Roman" w:cs="Times New Roman"/>
              </w:rPr>
              <w:t>六、γ-六六六和δ-六六六之和，以六六六表示</w:t>
            </w:r>
          </w:p>
        </w:tc>
        <w:tc>
          <w:tcPr>
            <w:tcW w:w="1211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609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《中华人民共和国药典》2020 年版通则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滴滴涕</w:t>
            </w:r>
          </w:p>
        </w:tc>
        <w:tc>
          <w:tcPr>
            <w:tcW w:w="281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4,4'- 滴滴涕、 2,4'-滴滴涕、4,4'-滴滴伊、4,4'-滴滴滴之和，以滴滴涕表示</w:t>
            </w:r>
          </w:p>
        </w:tc>
        <w:tc>
          <w:tcPr>
            <w:tcW w:w="1211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《中华人民共和国药典》2020 年版通则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【标志性成分</w:t>
      </w:r>
      <w:r>
        <w:rPr>
          <w:rFonts w:ascii="Times New Roman" w:hAnsi="Times New Roman" w:cs="Times New Roman"/>
        </w:rPr>
        <w:t>指标</w:t>
      </w:r>
      <w:r>
        <w:rPr>
          <w:rFonts w:hint="eastAsia" w:ascii="Times New Roman" w:hAnsi="Times New Roman" w:cs="Times New Roman"/>
        </w:rPr>
        <w:t>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应符合表</w:t>
      </w:r>
      <w:r>
        <w:rPr>
          <w:rFonts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</w:rPr>
        <w:t>规定。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表4 </w:t>
      </w:r>
      <w:r>
        <w:rPr>
          <w:rFonts w:hint="eastAsia" w:ascii="Times New Roman" w:hAnsi="Times New Roman" w:eastAsia="宋体" w:cs="Times New Roman"/>
        </w:rPr>
        <w:t>标志性</w:t>
      </w:r>
      <w:r>
        <w:rPr>
          <w:rFonts w:ascii="Times New Roman" w:hAnsi="Times New Roman" w:eastAsia="宋体" w:cs="Times New Roman"/>
        </w:rPr>
        <w:t>成分指标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4"/>
        <w:gridCol w:w="1134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0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指标</w:t>
            </w: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vAlign w:val="center"/>
          </w:tcPr>
          <w:p>
            <w:pPr>
              <w:spacing w:line="360" w:lineRule="auto"/>
              <w:ind w:left="4410" w:hanging="4410" w:hangingChars="2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人参皂苷 Rg</w:t>
            </w:r>
            <w:r>
              <w:rPr>
                <w:rFonts w:hint="eastAsia" w:ascii="Times New Roman" w:hAnsi="Times New Roman" w:cs="Times New Roman"/>
                <w:vertAlign w:val="subscript"/>
              </w:rPr>
              <w:t>1</w:t>
            </w:r>
            <w:r>
              <w:rPr>
                <w:rFonts w:hint="eastAsia" w:ascii="Times New Roman" w:hAnsi="Times New Roman" w:cs="Times New Roman"/>
              </w:rPr>
              <w:t xml:space="preserve"> 、人参皂苷 Re和人参皂苷 R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hint="eastAsia" w:ascii="Times New Roman" w:hAnsi="Times New Roman" w:cs="Times New Roman"/>
                <w:vertAlign w:val="subscript"/>
              </w:rPr>
              <w:t>1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 xml:space="preserve">%                       </w:t>
            </w:r>
            <w:r>
              <w:rPr>
                <w:rFonts w:hint="eastAsia" w:ascii="Times New Roman" w:hAnsi="Times New Roman" w:cs="Times New Roman"/>
              </w:rPr>
              <w:t>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皂苷的</w:t>
            </w:r>
            <w:r>
              <w:rPr>
                <w:rFonts w:ascii="Times New Roman" w:hAnsi="Times New Roman" w:cs="Times New Roman"/>
              </w:rPr>
              <w:t>测定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 皂苷</w:t>
      </w:r>
      <w:r>
        <w:rPr>
          <w:rFonts w:ascii="Times New Roman" w:hAnsi="Times New Roman" w:cs="Times New Roman"/>
        </w:rPr>
        <w:t>的测定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1.1 仪器</w:t>
      </w:r>
      <w:r>
        <w:rPr>
          <w:rFonts w:ascii="Times New Roman" w:hAnsi="Times New Roman" w:cs="Times New Roman"/>
        </w:rPr>
        <w:t>与设备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.1.1</w:t>
      </w:r>
      <w:r>
        <w:rPr>
          <w:rFonts w:hint="eastAsia" w:ascii="Times New Roman" w:hAnsi="Times New Roman" w:cs="Times New Roman"/>
        </w:rPr>
        <w:t>电子分析天平：精度 0.1 mg。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.2 高效液相色谱仪。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.3 电热恒温水浴锅：±0.5 ℃。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.4 超声波清洗器：功率≥45 W。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 xml:space="preserve"> 试剂与溶液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 xml:space="preserve"> 乙腈，色谱级纯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.3 磷酸，分析纯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.4 正丁醇，分析纯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.5 甲醇，分析纯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1.3对照品溶液制备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准确称取</w:t>
      </w:r>
      <w:r>
        <w:rPr>
          <w:rFonts w:ascii="Times New Roman" w:hAnsi="Times New Roman" w:cs="Times New Roman"/>
        </w:rPr>
        <w:t>人参皂苷Rg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对照品、人参皂苷 Re 对照品及人参皂苷 Rb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对照品，加甲醇制成每 l mL</w:t>
      </w:r>
      <w:r>
        <w:rPr>
          <w:rFonts w:hint="eastAsia" w:ascii="Times New Roman" w:hAnsi="Times New Roman" w:cs="Times New Roman"/>
        </w:rPr>
        <w:t>各</w:t>
      </w:r>
      <w:r>
        <w:rPr>
          <w:rFonts w:ascii="Times New Roman" w:hAnsi="Times New Roman" w:cs="Times New Roman"/>
        </w:rPr>
        <w:t>含</w:t>
      </w:r>
      <w:r>
        <w:rPr>
          <w:rFonts w:hint="eastAsia" w:ascii="Times New Roman" w:hAnsi="Times New Roman" w:cs="Times New Roman"/>
        </w:rPr>
        <w:t>人参皂苷Rg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>.1mg</w:t>
      </w:r>
      <w:r>
        <w:rPr>
          <w:rFonts w:hint="eastAsia" w:ascii="Times New Roman" w:hAnsi="Times New Roman" w:cs="Times New Roman"/>
        </w:rPr>
        <w:t>、人参皂苷 Re 0</w:t>
      </w:r>
      <w:r>
        <w:rPr>
          <w:rFonts w:ascii="Times New Roman" w:hAnsi="Times New Roman" w:cs="Times New Roman"/>
        </w:rPr>
        <w:t>.4mg</w:t>
      </w:r>
      <w:r>
        <w:rPr>
          <w:rFonts w:hint="eastAsia" w:ascii="Times New Roman" w:hAnsi="Times New Roman" w:cs="Times New Roman"/>
        </w:rPr>
        <w:t>及人参皂苷 Rb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1 mg 的混合溶液，摇匀，即得。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1.4</w:t>
      </w:r>
      <w:r>
        <w:rPr>
          <w:rFonts w:ascii="Times New Roman" w:hAnsi="Times New Roman" w:cs="Times New Roman"/>
        </w:rPr>
        <w:t>色谱条件与系统适用性试验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以十八烷基硅烷键合硅胶为填充剂；以乙腈（色谱级）为流动相A，以0</w:t>
      </w:r>
      <w:r>
        <w:rPr>
          <w:rFonts w:ascii="Times New Roman" w:hAnsi="Times New Roman" w:cs="Times New Roman"/>
        </w:rPr>
        <w:t>.1%磷酸溶液</w:t>
      </w:r>
      <w:r>
        <w:rPr>
          <w:rFonts w:hint="eastAsia" w:ascii="Times New Roman" w:hAnsi="Times New Roman" w:cs="Times New Roman"/>
        </w:rPr>
        <w:t>为流动相B，按下表中的规定进行梯度洗脱；检测波长为203 nm；</w:t>
      </w:r>
      <w:r>
        <w:rPr>
          <w:rFonts w:ascii="Times New Roman" w:hAnsi="Times New Roman" w:cs="Times New Roman"/>
        </w:rPr>
        <w:t>柱温40</w:t>
      </w:r>
      <w:r>
        <w:rPr>
          <w:rFonts w:hint="eastAsia" w:ascii="宋体" w:hAnsi="宋体" w:eastAsia="宋体" w:cs="宋体"/>
          <w:lang w:eastAsia="ja-JP"/>
        </w:rPr>
        <w:t>℃</w:t>
      </w:r>
      <w:r>
        <w:rPr>
          <w:rFonts w:ascii="宋体" w:hAnsi="宋体" w:eastAsia="MS Mincho" w:cs="宋体"/>
          <w:lang w:eastAsia="ja-JP"/>
        </w:rPr>
        <w:t>。</w:t>
      </w:r>
      <w:r>
        <w:rPr>
          <w:rFonts w:hint="eastAsia" w:ascii="Times New Roman" w:hAnsi="Times New Roman" w:cs="Times New Roman"/>
        </w:rPr>
        <w:t>理论板数按人参皂苷R</w:t>
      </w: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l</w:t>
      </w:r>
      <w:r>
        <w:rPr>
          <w:rFonts w:hint="eastAsia" w:ascii="Times New Roman" w:hAnsi="Times New Roman" w:cs="Times New Roman"/>
        </w:rPr>
        <w:t>峰计算应不低于</w:t>
      </w:r>
      <w:r>
        <w:rPr>
          <w:rFonts w:ascii="Times New Roman" w:hAnsi="Times New Roman" w:cs="Times New Roman"/>
        </w:rPr>
        <w:t>5</w:t>
      </w:r>
      <w:r>
        <w:rPr>
          <w:rFonts w:hint="eastAsia" w:ascii="Times New Roman" w:hAnsi="Times New Roman" w:cs="Times New Roman"/>
        </w:rPr>
        <w:t>000。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845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时间（分钟）</w:t>
            </w:r>
          </w:p>
        </w:tc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流动相A（%</w:t>
            </w:r>
            <w:r>
              <w:rPr>
                <w:rFonts w:hint="eastAsia" w:ascii="Times New Roman" w:hAnsi="Times New Roman" w:cs="Times New Roman"/>
              </w:rPr>
              <w:t>）</w:t>
            </w:r>
          </w:p>
        </w:tc>
        <w:tc>
          <w:tcPr>
            <w:tcW w:w="300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流动相B（％）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0～25</w:t>
            </w:r>
          </w:p>
        </w:tc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19→20</w:t>
            </w:r>
          </w:p>
        </w:tc>
        <w:tc>
          <w:tcPr>
            <w:tcW w:w="300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81→80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25～60</w:t>
            </w:r>
          </w:p>
        </w:tc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20→40</w:t>
            </w:r>
          </w:p>
        </w:tc>
        <w:tc>
          <w:tcPr>
            <w:tcW w:w="300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80→60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60～90</w:t>
            </w:r>
          </w:p>
        </w:tc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→55</w:t>
            </w:r>
          </w:p>
        </w:tc>
        <w:tc>
          <w:tcPr>
            <w:tcW w:w="300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60→45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90～100</w:t>
            </w:r>
          </w:p>
        </w:tc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55→60</w:t>
            </w:r>
          </w:p>
        </w:tc>
        <w:tc>
          <w:tcPr>
            <w:tcW w:w="300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45→40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1.5样品的处理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准确称取本品粉末（过三号筛）约 1g，精密称定，置具塞锥形瓶中，精密加入水饱和的正丁醇 50mL，称定重量，置水浴中加热回流提取 1.5 小时，放冷，再称定重量，用水饱和正丁醇补足减失的重量，摇匀，滤过。精密量取续滤液 25mL，置蒸发皿中，蒸干，残渣加 50%甲醇适量使溶解，转移至 10mL 量瓶中，加 50%甲醇至刻度，摇匀，滤过，取续滤液，即得。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1.6 测定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分别精密吸取对照品溶液 10μL 与供试品溶液 10μL，注入液相色谱仪，测定。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1.7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结果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</w:t>
      </w:r>
      <w:r>
        <w:rPr>
          <w:rFonts w:hint="eastAsia" w:ascii="Times New Roman" w:hAnsi="Times New Roman" w:cs="Times New Roman"/>
        </w:rPr>
        <w:drawing>
          <wp:inline distT="0" distB="0" distL="0" distR="0">
            <wp:extent cx="2125980" cy="611505"/>
            <wp:effectExtent l="0" t="0" r="762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X—样品中人参皂苷的含量，%；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vertAlign w:val="subscript"/>
        </w:rPr>
        <w:t>样</w:t>
      </w:r>
      <w:r>
        <w:rPr>
          <w:rFonts w:ascii="Times New Roman" w:hAnsi="Times New Roman" w:cs="Times New Roman"/>
        </w:rPr>
        <w:t>—样品峰面积；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vertAlign w:val="subscript"/>
        </w:rPr>
        <w:t>对</w:t>
      </w:r>
      <w:r>
        <w:rPr>
          <w:rFonts w:ascii="Times New Roman" w:hAnsi="Times New Roman" w:cs="Times New Roman"/>
        </w:rPr>
        <w:t>—人参皂苷对照品峰面积；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</w:t>
      </w:r>
      <w:r>
        <w:rPr>
          <w:rFonts w:ascii="Times New Roman" w:hAnsi="Times New Roman" w:cs="Times New Roman"/>
          <w:vertAlign w:val="subscript"/>
        </w:rPr>
        <w:t>对</w:t>
      </w:r>
      <w:r>
        <w:rPr>
          <w:rFonts w:ascii="Times New Roman" w:hAnsi="Times New Roman" w:cs="Times New Roman"/>
        </w:rPr>
        <w:t>—人参皂苷对照品溶液浓度，mg/mL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M—样品质量，g；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V—样品溶液总体积，即 10 mL；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1000—单位换算系数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【储存】成品西洋参应储存在清洁卫生、阴凉干燥（温度不超过 20 度、相对湿度不高于 75%）、通风、防潮、防虫蛀、无异味的库房中，定期检查西洋参的储存情况。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【产品</w:t>
      </w:r>
      <w:r>
        <w:rPr>
          <w:rFonts w:ascii="Times New Roman" w:hAnsi="Times New Roman" w:cs="Times New Roman"/>
        </w:rPr>
        <w:t>剂型</w:t>
      </w:r>
      <w:r>
        <w:rPr>
          <w:rFonts w:hint="eastAsia" w:ascii="Times New Roman" w:hAnsi="Times New Roman" w:cs="Times New Roman"/>
        </w:rPr>
        <w:t>及</w:t>
      </w:r>
      <w:r>
        <w:rPr>
          <w:rFonts w:ascii="Times New Roman" w:hAnsi="Times New Roman" w:cs="Times New Roman"/>
        </w:rPr>
        <w:t>生产工艺要求</w:t>
      </w:r>
      <w:r>
        <w:rPr>
          <w:rFonts w:hint="eastAsia" w:ascii="Times New Roman" w:hAnsi="Times New Roman" w:cs="Times New Roman"/>
        </w:rPr>
        <w:t>】片剂（含片、咀嚼片、口服片）、硬胶囊、软胶囊、粉剂、口服溶液、颗粒剂，茶剂（不含茶叶）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西洋参原料在</w:t>
      </w:r>
      <w:r>
        <w:rPr>
          <w:rFonts w:ascii="Times New Roman" w:hAnsi="Times New Roman" w:cs="Times New Roman"/>
        </w:rPr>
        <w:t>产品备案时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允许</w:t>
      </w:r>
      <w:r>
        <w:rPr>
          <w:rFonts w:hint="eastAsia" w:ascii="Times New Roman" w:hAnsi="Times New Roman" w:cs="Times New Roman"/>
        </w:rPr>
        <w:t>仅</w:t>
      </w:r>
      <w:r>
        <w:rPr>
          <w:rFonts w:ascii="Times New Roman" w:hAnsi="Times New Roman" w:cs="Times New Roman"/>
        </w:rPr>
        <w:t>以</w:t>
      </w:r>
      <w:r>
        <w:rPr>
          <w:rFonts w:hint="eastAsia" w:ascii="Times New Roman" w:hAnsi="Times New Roman" w:cs="Times New Roman"/>
        </w:rPr>
        <w:t>物理</w:t>
      </w:r>
      <w:r>
        <w:rPr>
          <w:rFonts w:ascii="Times New Roman" w:hAnsi="Times New Roman" w:cs="Times New Roman"/>
        </w:rPr>
        <w:t>粉碎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或仅经水提取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生产工艺</w:t>
      </w:r>
      <w:r>
        <w:rPr>
          <w:rFonts w:hint="eastAsia" w:ascii="Times New Roman" w:hAnsi="Times New Roman" w:cs="Times New Roman"/>
        </w:rPr>
        <w:t>，制成</w:t>
      </w:r>
      <w:r>
        <w:rPr>
          <w:rFonts w:ascii="Times New Roman" w:hAnsi="Times New Roman" w:cs="Times New Roman"/>
        </w:rPr>
        <w:t>产品时不应再有其他引起物质基础发生改变的生产工艺。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西洋参粉碎的参考</w:t>
      </w:r>
      <w:r>
        <w:rPr>
          <w:rFonts w:ascii="Times New Roman" w:hAnsi="Times New Roman" w:cs="Times New Roman"/>
        </w:rPr>
        <w:t>主要工艺为：</w:t>
      </w:r>
      <w:r>
        <w:rPr>
          <w:rFonts w:hint="eastAsia" w:ascii="Times New Roman" w:hAnsi="Times New Roman" w:cs="Times New Roman"/>
        </w:rPr>
        <w:t>粉碎、灭菌（一般采取辐照灭菌和湿热灭菌等灭菌方法），干燥（60-70℃），过筛（60-100 目）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人参</w:t>
      </w:r>
      <w:r>
        <w:rPr>
          <w:rFonts w:ascii="Times New Roman" w:hAnsi="Times New Roman" w:cs="Times New Roman"/>
        </w:rPr>
        <w:t>经水提取的主要</w:t>
      </w:r>
      <w:r>
        <w:rPr>
          <w:rFonts w:hint="eastAsia" w:ascii="Times New Roman" w:hAnsi="Times New Roman" w:cs="Times New Roman"/>
        </w:rPr>
        <w:t>参考</w:t>
      </w:r>
      <w:r>
        <w:rPr>
          <w:rFonts w:ascii="Times New Roman" w:hAnsi="Times New Roman" w:cs="Times New Roman"/>
        </w:rPr>
        <w:t>工艺为：</w:t>
      </w:r>
      <w:r>
        <w:rPr>
          <w:rFonts w:hint="eastAsia" w:ascii="Times New Roman" w:hAnsi="Times New Roman" w:cs="Times New Roman"/>
        </w:rPr>
        <w:t>粉碎</w:t>
      </w:r>
      <w:r>
        <w:rPr>
          <w:rFonts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</w:rPr>
        <w:t>过筛（10 目），水煎 2</w:t>
      </w:r>
      <w:r>
        <w:rPr>
          <w:rFonts w:ascii="Times New Roman" w:hAnsi="Times New Roman" w:cs="Times New Roman"/>
        </w:rPr>
        <w:t>-3</w:t>
      </w:r>
      <w:r>
        <w:rPr>
          <w:rFonts w:hint="eastAsia" w:ascii="Times New Roman" w:hAnsi="Times New Roman" w:cs="Times New Roman"/>
        </w:rPr>
        <w:t xml:space="preserve"> 次（水量：8-10 倍，时间：1-2h），过滤</w:t>
      </w:r>
      <w:r>
        <w:rPr>
          <w:rFonts w:ascii="Times New Roman" w:hAnsi="Times New Roman" w:cs="Times New Roman"/>
        </w:rPr>
        <w:t>，浓缩，干燥</w:t>
      </w:r>
    </w:p>
    <w:p>
      <w:pPr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——————————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2"/>
        <w:szCs w:val="22"/>
      </w:rPr>
      <w:id w:val="-1724208596"/>
    </w:sdtPr>
    <w:sdtEndPr>
      <w:rPr>
        <w:sz w:val="22"/>
        <w:szCs w:val="22"/>
      </w:rPr>
    </w:sdtEnd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B5D4D"/>
    <w:rsid w:val="002A289F"/>
    <w:rsid w:val="003438B9"/>
    <w:rsid w:val="0059536A"/>
    <w:rsid w:val="32892DC0"/>
    <w:rsid w:val="41845038"/>
    <w:rsid w:val="6A8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 w:eastAsiaTheme="minorEastAsia"/>
      <w:sz w:val="18"/>
      <w:szCs w:val="18"/>
      <w:lang w:val="en-US" w:eastAsia="zh-CN" w:bidi="ar-SA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2644</Words>
  <Characters>3281</Characters>
  <Lines>108</Lines>
  <Paragraphs>30</Paragraphs>
  <TotalTime>9</TotalTime>
  <ScaleCrop>false</ScaleCrop>
  <LinksUpToDate>false</LinksUpToDate>
  <CharactersWithSpaces>15046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2022-10-25T06:31:00Z</dcterms:created>
  <dc:creator>王丹</dc:creator>
  <cp:lastModifiedBy>叮咚叮咚叮</cp:lastModifiedBy>
  <dcterms:modified xsi:type="dcterms:W3CDTF">2022-11-02T05:04:09Z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1B1C4D6722684BD5BA1F98EE9E1DDF48</vt:lpwstr>
  </property>
</Properties>
</file>