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中文名称：食品添加剂生产许可审查细则（征求意见稿）</w:t>
      </w:r>
    </w:p>
    <w:p>
      <w:pPr>
        <w:pStyle w:val="7"/>
        <w:autoSpaceDE w:val="0"/>
        <w:autoSpaceDN w:val="0"/>
        <w:adjustRightInd w:val="0"/>
        <w:snapToGrid w:val="0"/>
        <w:spacing w:line="300" w:lineRule="auto"/>
        <w:ind w:firstLine="0" w:firstLineChars="0"/>
        <w:rPr>
          <w:rFonts w:hint="default" w:eastAsia="宋体"/>
          <w:lang w:val="en-US" w:eastAsia="zh-CN"/>
        </w:rPr>
      </w:pPr>
      <w:r>
        <w:rPr>
          <w:rFonts w:hint="eastAsia" w:cs="仿宋_GB2312"/>
          <w:bCs/>
          <w:sz w:val="24"/>
        </w:rPr>
        <w:t xml:space="preserve">英文名称： </w:t>
      </w:r>
      <w:r>
        <w:rPr>
          <w:rFonts w:hint="eastAsia" w:eastAsia="宋体" w:cs="仿宋_GB2312"/>
          <w:bCs/>
          <w:sz w:val="24"/>
          <w:lang w:val="en-US" w:eastAsia="zh-CN"/>
        </w:rPr>
        <w:t xml:space="preserve">Review Rules </w:t>
      </w:r>
      <w:r>
        <w:rPr>
          <w:rFonts w:hint="eastAsia" w:cs="仿宋_GB2312"/>
          <w:bCs/>
          <w:sz w:val="24"/>
        </w:rPr>
        <w:t xml:space="preserve">for Production </w:t>
      </w:r>
      <w:r>
        <w:rPr>
          <w:rFonts w:hint="eastAsia" w:eastAsia="宋体" w:cs="仿宋_GB2312"/>
          <w:bCs/>
          <w:sz w:val="24"/>
          <w:lang w:val="en-US" w:eastAsia="zh-CN"/>
        </w:rPr>
        <w:t xml:space="preserve">Licence </w:t>
      </w:r>
      <w:r>
        <w:rPr>
          <w:rFonts w:hint="eastAsia" w:cs="仿宋_GB2312"/>
          <w:bCs/>
          <w:sz w:val="24"/>
        </w:rPr>
        <w:t>of Food Additives</w:t>
      </w:r>
      <w:r>
        <w:rPr>
          <w:rFonts w:hint="eastAsia" w:eastAsia="宋体" w:cs="仿宋_GB2312"/>
          <w:bCs/>
          <w:sz w:val="24"/>
          <w:lang w:val="en-US" w:eastAsia="zh-CN"/>
        </w:rPr>
        <w:t xml:space="preserve"> (Draft)</w:t>
      </w:r>
    </w:p>
    <w:p>
      <w:pPr>
        <w:pStyle w:val="7"/>
        <w:autoSpaceDE w:val="0"/>
        <w:autoSpaceDN w:val="0"/>
        <w:adjustRightInd w:val="0"/>
        <w:snapToGrid w:val="0"/>
        <w:spacing w:line="300" w:lineRule="auto"/>
        <w:ind w:firstLine="0" w:firstLineChars="0"/>
        <w:rPr>
          <w:rFonts w:hint="eastAsia" w:eastAsia="宋体" w:cs="仿宋_GB2312"/>
          <w:bCs/>
          <w:sz w:val="24"/>
          <w:lang w:val="en-US" w:eastAsia="zh-CN"/>
        </w:rPr>
      </w:pPr>
      <w:r>
        <w:rPr>
          <w:rFonts w:hint="eastAsia" w:cs="仿宋_GB2312"/>
          <w:bCs/>
          <w:sz w:val="24"/>
        </w:rPr>
        <w:t>发布时间：202</w:t>
      </w:r>
      <w:r>
        <w:rPr>
          <w:rFonts w:cs="仿宋_GB2312"/>
          <w:bCs/>
          <w:sz w:val="24"/>
        </w:rPr>
        <w:t>4</w:t>
      </w:r>
      <w:r>
        <w:rPr>
          <w:rFonts w:hint="eastAsia" w:cs="仿宋_GB2312"/>
          <w:bCs/>
          <w:sz w:val="24"/>
        </w:rPr>
        <w:t>/</w:t>
      </w:r>
      <w:r>
        <w:rPr>
          <w:rFonts w:cs="仿宋_GB2312"/>
          <w:bCs/>
          <w:sz w:val="24"/>
        </w:rPr>
        <w:t>0</w:t>
      </w:r>
      <w:r>
        <w:rPr>
          <w:rFonts w:hint="eastAsia" w:eastAsia="宋体" w:cs="仿宋_GB2312"/>
          <w:bCs/>
          <w:sz w:val="24"/>
          <w:lang w:val="en-US" w:eastAsia="zh-CN"/>
        </w:rPr>
        <w:t>4</w:t>
      </w:r>
      <w:r>
        <w:rPr>
          <w:rFonts w:hint="eastAsia" w:cs="仿宋_GB2312"/>
          <w:bCs/>
          <w:sz w:val="24"/>
        </w:rPr>
        <w:t>/</w:t>
      </w:r>
      <w:r>
        <w:rPr>
          <w:rFonts w:cs="仿宋_GB2312"/>
          <w:bCs/>
          <w:sz w:val="24"/>
        </w:rPr>
        <w:t>0</w:t>
      </w:r>
      <w:r>
        <w:rPr>
          <w:rFonts w:hint="eastAsia" w:eastAsia="宋体" w:cs="仿宋_GB2312"/>
          <w:bCs/>
          <w:sz w:val="24"/>
          <w:lang w:val="en-US" w:eastAsia="zh-CN"/>
        </w:rPr>
        <w:t>3</w:t>
      </w:r>
    </w:p>
    <w:p>
      <w:pPr>
        <w:pStyle w:val="7"/>
        <w:autoSpaceDE w:val="0"/>
        <w:autoSpaceDN w:val="0"/>
        <w:adjustRightInd w:val="0"/>
        <w:snapToGrid w:val="0"/>
        <w:spacing w:line="300" w:lineRule="auto"/>
        <w:ind w:firstLine="0" w:firstLineChars="0"/>
        <w:rPr>
          <w:rFonts w:hint="eastAsia" w:eastAsia="宋体" w:cs="仿宋_GB2312"/>
          <w:bCs/>
          <w:sz w:val="24"/>
          <w:lang w:val="en-US" w:eastAsia="zh-CN"/>
        </w:rPr>
      </w:pPr>
      <w:r>
        <w:rPr>
          <w:rFonts w:hint="eastAsia" w:cs="仿宋_GB2312"/>
          <w:bCs/>
          <w:sz w:val="24"/>
        </w:rPr>
        <w:t>截止时间：202</w:t>
      </w:r>
      <w:r>
        <w:rPr>
          <w:rFonts w:cs="仿宋_GB2312"/>
          <w:bCs/>
          <w:sz w:val="24"/>
        </w:rPr>
        <w:t>4</w:t>
      </w:r>
      <w:r>
        <w:rPr>
          <w:rFonts w:hint="eastAsia" w:cs="仿宋_GB2312"/>
          <w:bCs/>
          <w:sz w:val="24"/>
        </w:rPr>
        <w:t>/</w:t>
      </w:r>
      <w:r>
        <w:rPr>
          <w:rFonts w:cs="仿宋_GB2312"/>
          <w:bCs/>
          <w:sz w:val="24"/>
        </w:rPr>
        <w:t>0</w:t>
      </w:r>
      <w:r>
        <w:rPr>
          <w:rFonts w:hint="eastAsia" w:eastAsia="宋体" w:cs="仿宋_GB2312"/>
          <w:bCs/>
          <w:sz w:val="24"/>
          <w:lang w:val="en-US" w:eastAsia="zh-CN"/>
        </w:rPr>
        <w:t>5</w:t>
      </w:r>
      <w:r>
        <w:rPr>
          <w:rFonts w:hint="eastAsia" w:cs="仿宋_GB2312"/>
          <w:bCs/>
          <w:sz w:val="24"/>
        </w:rPr>
        <w:t>/</w:t>
      </w:r>
      <w:r>
        <w:rPr>
          <w:rFonts w:cs="仿宋_GB2312"/>
          <w:bCs/>
          <w:sz w:val="24"/>
        </w:rPr>
        <w:t>0</w:t>
      </w:r>
      <w:r>
        <w:rPr>
          <w:rFonts w:hint="eastAsia" w:eastAsia="宋体" w:cs="仿宋_GB2312"/>
          <w:bCs/>
          <w:sz w:val="24"/>
          <w:lang w:val="en-US" w:eastAsia="zh-CN"/>
        </w:rPr>
        <w:t>3</w:t>
      </w:r>
    </w:p>
    <w:p>
      <w:pPr>
        <w:pStyle w:val="7"/>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bookmarkStart w:id="0" w:name="_GoBack"/>
      <w:bookmarkEnd w:id="0"/>
    </w:p>
    <w:p>
      <w:pPr>
        <w:spacing w:before="141" w:line="230" w:lineRule="auto"/>
        <w:ind w:left="16"/>
        <w:rPr>
          <w:rFonts w:ascii="黑体" w:hAnsi="黑体" w:eastAsia="黑体" w:cs="黑体"/>
          <w:spacing w:val="-4"/>
          <w:sz w:val="31"/>
          <w:szCs w:val="31"/>
        </w:rPr>
      </w:pPr>
    </w:p>
    <w:p>
      <w:pPr>
        <w:spacing w:before="141" w:line="230" w:lineRule="auto"/>
        <w:ind w:left="16"/>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140" w:line="593" w:lineRule="exact"/>
        <w:jc w:val="right"/>
        <w:outlineLvl w:val="0"/>
        <w:rPr>
          <w:rFonts w:ascii="宋体" w:hAnsi="宋体" w:eastAsia="宋体" w:cs="宋体"/>
          <w:sz w:val="43"/>
          <w:szCs w:val="43"/>
        </w:rPr>
      </w:pPr>
      <w:r>
        <w:rPr>
          <w:rFonts w:ascii="宋体" w:hAnsi="宋体" w:eastAsia="宋体" w:cs="宋体"/>
          <w:b/>
          <w:bCs/>
          <w:spacing w:val="5"/>
          <w:position w:val="2"/>
          <w:sz w:val="43"/>
          <w:szCs w:val="43"/>
        </w:rPr>
        <w:t>食品添加剂生产许可审查细则（征求意见稿）</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00" w:line="227" w:lineRule="auto"/>
        <w:ind w:left="3437"/>
        <w:outlineLvl w:val="1"/>
        <w:rPr>
          <w:rFonts w:ascii="黑体" w:hAnsi="黑体" w:eastAsia="黑体" w:cs="黑体"/>
          <w:sz w:val="31"/>
          <w:szCs w:val="31"/>
        </w:rPr>
      </w:pPr>
      <w:r>
        <w:rPr>
          <w:rFonts w:ascii="黑体" w:hAnsi="黑体" w:eastAsia="黑体" w:cs="黑体"/>
          <w:spacing w:val="3"/>
          <w:sz w:val="31"/>
          <w:szCs w:val="31"/>
        </w:rPr>
        <w:t>第一章</w:t>
      </w:r>
      <w:r>
        <w:rPr>
          <w:rFonts w:ascii="黑体" w:hAnsi="黑体" w:eastAsia="黑体" w:cs="黑体"/>
          <w:spacing w:val="25"/>
          <w:sz w:val="31"/>
          <w:szCs w:val="31"/>
        </w:rPr>
        <w:t xml:space="preserve"> </w:t>
      </w:r>
      <w:r>
        <w:rPr>
          <w:rFonts w:ascii="黑体" w:hAnsi="黑体" w:eastAsia="黑体" w:cs="黑体"/>
          <w:spacing w:val="3"/>
          <w:sz w:val="31"/>
          <w:szCs w:val="31"/>
        </w:rPr>
        <w:t>总则</w:t>
      </w:r>
    </w:p>
    <w:p>
      <w:pPr>
        <w:spacing w:line="274" w:lineRule="auto"/>
        <w:rPr>
          <w:rFonts w:ascii="Arial"/>
          <w:sz w:val="21"/>
        </w:rPr>
      </w:pPr>
    </w:p>
    <w:p>
      <w:pPr>
        <w:pStyle w:val="2"/>
        <w:spacing w:before="101" w:line="348" w:lineRule="auto"/>
        <w:ind w:left="2" w:right="178" w:firstLine="636"/>
        <w:jc w:val="both"/>
      </w:pPr>
      <w:r>
        <w:rPr>
          <w:rFonts w:ascii="黑体" w:hAnsi="黑体" w:eastAsia="黑体" w:cs="黑体"/>
          <w:spacing w:val="-3"/>
        </w:rPr>
        <w:t xml:space="preserve">第一条  </w:t>
      </w:r>
      <w:r>
        <w:rPr>
          <w:spacing w:val="-3"/>
        </w:rPr>
        <w:t>为了加强食品添加剂生产许可审查工作，依据《中</w:t>
      </w:r>
      <w:r>
        <w:rPr>
          <w:spacing w:val="6"/>
        </w:rPr>
        <w:t xml:space="preserve"> </w:t>
      </w:r>
      <w:r>
        <w:rPr>
          <w:spacing w:val="9"/>
        </w:rPr>
        <w:t xml:space="preserve">华人民共和国食品安全法》《中华人民共和国食品安全法实施 条例》《食品生产许可管理办法》及相关食品安全国家标准等 </w:t>
      </w:r>
      <w:r>
        <w:rPr>
          <w:spacing w:val="5"/>
        </w:rPr>
        <w:t>规定，制定《食品添加剂生产许可审查细则》（</w:t>
      </w:r>
      <w:r>
        <w:rPr>
          <w:spacing w:val="-38"/>
        </w:rPr>
        <w:t xml:space="preserve"> </w:t>
      </w:r>
      <w:r>
        <w:rPr>
          <w:spacing w:val="5"/>
        </w:rPr>
        <w:t>以下简称《细</w:t>
      </w:r>
      <w:r>
        <w:t xml:space="preserve"> </w:t>
      </w:r>
      <w:r>
        <w:rPr>
          <w:spacing w:val="-13"/>
        </w:rPr>
        <w:t>则》</w:t>
      </w:r>
      <w:r>
        <w:rPr>
          <w:spacing w:val="-56"/>
        </w:rPr>
        <w:t xml:space="preserve"> </w:t>
      </w:r>
      <w:r>
        <w:rPr>
          <w:spacing w:val="-13"/>
        </w:rPr>
        <w:t>）。</w:t>
      </w:r>
    </w:p>
    <w:p>
      <w:pPr>
        <w:pStyle w:val="2"/>
        <w:spacing w:before="49" w:line="336" w:lineRule="auto"/>
        <w:ind w:left="6" w:right="96" w:firstLine="633"/>
      </w:pPr>
      <w:r>
        <w:rPr>
          <w:rFonts w:ascii="黑体" w:hAnsi="黑体" w:eastAsia="黑体" w:cs="黑体"/>
        </w:rPr>
        <w:t xml:space="preserve">第二条  </w:t>
      </w:r>
      <w:r>
        <w:t>本《细则》适用于食品添加剂生产许可审查工作，</w:t>
      </w:r>
      <w:r>
        <w:rPr>
          <w:spacing w:val="7"/>
        </w:rPr>
        <w:t xml:space="preserve"> </w:t>
      </w:r>
      <w:r>
        <w:rPr>
          <w:spacing w:val="8"/>
        </w:rPr>
        <w:t>应当结合《食品生产许可审查通则》使用。</w:t>
      </w:r>
    </w:p>
    <w:p>
      <w:pPr>
        <w:pStyle w:val="2"/>
        <w:spacing w:before="64" w:line="347" w:lineRule="auto"/>
        <w:ind w:right="178" w:firstLine="639"/>
      </w:pPr>
      <w:r>
        <w:rPr>
          <w:rFonts w:ascii="黑体" w:hAnsi="黑体" w:eastAsia="黑体" w:cs="黑体"/>
          <w:spacing w:val="9"/>
        </w:rPr>
        <w:t xml:space="preserve">第三条  </w:t>
      </w:r>
      <w:r>
        <w:rPr>
          <w:spacing w:val="9"/>
        </w:rPr>
        <w:t>本《细则》所称食品添加剂，是指为改善食品品</w:t>
      </w:r>
      <w:r>
        <w:rPr>
          <w:spacing w:val="1"/>
        </w:rPr>
        <w:t xml:space="preserve"> </w:t>
      </w:r>
      <w:r>
        <w:rPr>
          <w:spacing w:val="9"/>
        </w:rPr>
        <w:t>质和色、香、味以及为防腐、保鲜和加工工艺的需要而加入食</w:t>
      </w:r>
      <w:r>
        <w:rPr>
          <w:spacing w:val="11"/>
        </w:rPr>
        <w:t xml:space="preserve"> </w:t>
      </w:r>
      <w:r>
        <w:rPr>
          <w:spacing w:val="9"/>
        </w:rPr>
        <w:t>品中的人工合成或者天然物质，包括单一品种食品添加剂、食</w:t>
      </w:r>
      <w:r>
        <w:rPr>
          <w:spacing w:val="11"/>
        </w:rPr>
        <w:t xml:space="preserve"> </w:t>
      </w:r>
      <w:r>
        <w:rPr>
          <w:spacing w:val="9"/>
        </w:rPr>
        <w:t>品用香精、复配食品添加剂、食品营养强化剂、胶基糖果中基</w:t>
      </w:r>
      <w:r>
        <w:rPr>
          <w:spacing w:val="11"/>
        </w:rPr>
        <w:t xml:space="preserve"> </w:t>
      </w:r>
      <w:r>
        <w:rPr>
          <w:spacing w:val="7"/>
        </w:rPr>
        <w:t>础剂物质和酶制剂。</w:t>
      </w:r>
    </w:p>
    <w:p>
      <w:pPr>
        <w:pStyle w:val="2"/>
        <w:spacing w:before="51" w:line="343" w:lineRule="auto"/>
        <w:ind w:left="3" w:right="178" w:firstLine="635"/>
        <w:jc w:val="both"/>
      </w:pPr>
      <w:r>
        <w:rPr>
          <w:rFonts w:ascii="黑体" w:hAnsi="黑体" w:eastAsia="黑体" w:cs="黑体"/>
          <w:spacing w:val="9"/>
        </w:rPr>
        <w:t xml:space="preserve">第四条  </w:t>
      </w:r>
      <w:r>
        <w:rPr>
          <w:spacing w:val="9"/>
        </w:rPr>
        <w:t>单一品种食品添加剂，是指食品安全国家标准及</w:t>
      </w:r>
      <w:r>
        <w:rPr>
          <w:spacing w:val="1"/>
        </w:rPr>
        <w:t xml:space="preserve"> </w:t>
      </w:r>
      <w:r>
        <w:rPr>
          <w:spacing w:val="9"/>
        </w:rPr>
        <w:t>国务院卫生行政部门公告批准的单一品种食品添加剂，单一品</w:t>
      </w:r>
      <w:r>
        <w:rPr>
          <w:spacing w:val="7"/>
        </w:rPr>
        <w:t xml:space="preserve"> </w:t>
      </w:r>
      <w:r>
        <w:rPr>
          <w:spacing w:val="5"/>
        </w:rPr>
        <w:t>种食品添加剂生产许可类别编号</w:t>
      </w:r>
      <w:r>
        <w:rPr>
          <w:spacing w:val="-49"/>
        </w:rPr>
        <w:t xml:space="preserve"> </w:t>
      </w:r>
      <w:r>
        <w:rPr>
          <w:rFonts w:ascii="Times New Roman" w:hAnsi="Times New Roman" w:eastAsia="Times New Roman" w:cs="Times New Roman"/>
          <w:spacing w:val="5"/>
        </w:rPr>
        <w:t>3201</w:t>
      </w:r>
      <w:r>
        <w:rPr>
          <w:spacing w:val="5"/>
        </w:rPr>
        <w:t>，包括：酸度调节剂、抗</w:t>
      </w:r>
    </w:p>
    <w:p>
      <w:pPr>
        <w:spacing w:line="343" w:lineRule="auto"/>
        <w:sectPr>
          <w:footerReference r:id="rId5" w:type="default"/>
          <w:pgSz w:w="12240" w:h="15840"/>
          <w:pgMar w:top="1346" w:right="1622" w:bottom="895" w:left="1813" w:header="0" w:footer="724" w:gutter="0"/>
          <w:cols w:space="720" w:num="1"/>
        </w:sectPr>
      </w:pPr>
    </w:p>
    <w:p>
      <w:pPr>
        <w:pStyle w:val="2"/>
        <w:spacing w:before="320" w:line="346" w:lineRule="auto"/>
        <w:ind w:left="14" w:firstLine="3"/>
        <w:jc w:val="both"/>
      </w:pPr>
      <w:r>
        <w:rPr>
          <w:spacing w:val="1"/>
        </w:rPr>
        <w:t>结剂、消泡剂、抗氧化剂、漂白剂、膨松剂、着色剂、护色剂、</w:t>
      </w:r>
      <w:r>
        <w:rPr>
          <w:spacing w:val="6"/>
        </w:rPr>
        <w:t xml:space="preserve"> </w:t>
      </w:r>
      <w:r>
        <w:rPr>
          <w:spacing w:val="1"/>
        </w:rPr>
        <w:t>乳化剂、增味剂、面粉处理剂、被膜剂、水分保持剂、防腐剂、</w:t>
      </w:r>
      <w:r>
        <w:rPr>
          <w:spacing w:val="9"/>
        </w:rPr>
        <w:t xml:space="preserve"> 稳定剂和凝固剂、甜味剂、增稠剂、食品工业用加工助剂、食</w:t>
      </w:r>
      <w:r>
        <w:rPr>
          <w:spacing w:val="6"/>
        </w:rPr>
        <w:t xml:space="preserve"> 品用香料、其他。</w:t>
      </w:r>
    </w:p>
    <w:p>
      <w:pPr>
        <w:pStyle w:val="2"/>
        <w:spacing w:before="28" w:line="221" w:lineRule="auto"/>
        <w:ind w:left="659"/>
      </w:pPr>
      <w:r>
        <w:rPr>
          <w:spacing w:val="8"/>
        </w:rPr>
        <w:t>酸度调节剂，是指用以维持或改变食品酸碱度的物质。</w:t>
      </w:r>
    </w:p>
    <w:p>
      <w:pPr>
        <w:pStyle w:val="2"/>
        <w:spacing w:before="221" w:line="339" w:lineRule="auto"/>
        <w:ind w:left="9" w:right="97" w:firstLine="643"/>
      </w:pPr>
      <w:r>
        <w:rPr>
          <w:spacing w:val="9"/>
        </w:rPr>
        <w:t>抗结剂，是指用于防止颗粒或粉状食品聚集结块，保持其</w:t>
      </w:r>
      <w:r>
        <w:rPr>
          <w:spacing w:val="6"/>
        </w:rPr>
        <w:t xml:space="preserve"> </w:t>
      </w:r>
      <w:r>
        <w:rPr>
          <w:spacing w:val="7"/>
        </w:rPr>
        <w:t>松散或自由流动的物质。</w:t>
      </w:r>
    </w:p>
    <w:p>
      <w:pPr>
        <w:pStyle w:val="2"/>
        <w:spacing w:before="49" w:line="339" w:lineRule="auto"/>
        <w:ind w:left="36" w:right="97" w:firstLine="623"/>
      </w:pPr>
      <w:r>
        <w:rPr>
          <w:spacing w:val="9"/>
        </w:rPr>
        <w:t>消泡剂，是指在食品加工过程中降低表面张力，消除泡沫</w:t>
      </w:r>
      <w:r>
        <w:t xml:space="preserve"> </w:t>
      </w:r>
      <w:r>
        <w:rPr>
          <w:spacing w:val="-3"/>
        </w:rPr>
        <w:t>的物质。</w:t>
      </w:r>
    </w:p>
    <w:p>
      <w:pPr>
        <w:pStyle w:val="2"/>
        <w:spacing w:before="50" w:line="338" w:lineRule="auto"/>
        <w:ind w:left="29" w:right="161" w:firstLine="623"/>
      </w:pPr>
      <w:r>
        <w:rPr>
          <w:spacing w:val="6"/>
        </w:rPr>
        <w:t>抗氧化剂，是指能防止或延缓油脂或食品成分氧化分解、</w:t>
      </w:r>
      <w:r>
        <w:rPr>
          <w:spacing w:val="18"/>
        </w:rPr>
        <w:t xml:space="preserve"> </w:t>
      </w:r>
      <w:r>
        <w:rPr>
          <w:spacing w:val="6"/>
        </w:rPr>
        <w:t>变质，提高食品稳定性的物质。</w:t>
      </w:r>
    </w:p>
    <w:p>
      <w:pPr>
        <w:pStyle w:val="2"/>
        <w:spacing w:before="52" w:line="339" w:lineRule="auto"/>
        <w:ind w:left="8" w:right="97" w:firstLine="649"/>
      </w:pPr>
      <w:r>
        <w:rPr>
          <w:spacing w:val="9"/>
        </w:rPr>
        <w:t>漂白剂，是指能够破坏、抑制食品的发色因素，使其褪色</w:t>
      </w:r>
      <w:r>
        <w:rPr>
          <w:spacing w:val="1"/>
        </w:rPr>
        <w:t xml:space="preserve"> </w:t>
      </w:r>
      <w:r>
        <w:rPr>
          <w:spacing w:val="7"/>
        </w:rPr>
        <w:t>或使食品免于褐变的物质。</w:t>
      </w:r>
    </w:p>
    <w:p>
      <w:pPr>
        <w:pStyle w:val="2"/>
        <w:spacing w:before="50" w:line="339" w:lineRule="auto"/>
        <w:ind w:left="16" w:right="97" w:firstLine="633"/>
      </w:pPr>
      <w:r>
        <w:rPr>
          <w:spacing w:val="9"/>
        </w:rPr>
        <w:t>膨松剂，是指在食品加工过程中加入的，能使产品发起形</w:t>
      </w:r>
      <w:r>
        <w:rPr>
          <w:spacing w:val="10"/>
        </w:rPr>
        <w:t xml:space="preserve"> </w:t>
      </w:r>
      <w:r>
        <w:rPr>
          <w:spacing w:val="9"/>
        </w:rPr>
        <w:t>成致密多孔组织，从而使制品具有膨松、柔软</w:t>
      </w:r>
      <w:r>
        <w:rPr>
          <w:spacing w:val="8"/>
        </w:rPr>
        <w:t>或酥脆的物质。</w:t>
      </w:r>
    </w:p>
    <w:p>
      <w:pPr>
        <w:pStyle w:val="2"/>
        <w:spacing w:before="49" w:line="221" w:lineRule="auto"/>
        <w:ind w:left="644"/>
      </w:pPr>
      <w:r>
        <w:rPr>
          <w:spacing w:val="9"/>
        </w:rPr>
        <w:t>着色剂，是指使食品赋予色泽和改善食品色泽的物质。</w:t>
      </w:r>
    </w:p>
    <w:p>
      <w:pPr>
        <w:pStyle w:val="2"/>
        <w:spacing w:before="223" w:line="338" w:lineRule="auto"/>
        <w:ind w:left="48" w:right="8" w:firstLine="614"/>
      </w:pPr>
      <w:r>
        <w:rPr>
          <w:spacing w:val="9"/>
        </w:rPr>
        <w:t>护色剂，是指能与肉及肉制品中呈色物质作用，</w:t>
      </w:r>
      <w:r>
        <w:rPr>
          <w:spacing w:val="8"/>
        </w:rPr>
        <w:t>使之在食</w:t>
      </w:r>
      <w:r>
        <w:t xml:space="preserve"> 品加工、保藏等过程中不致分解、破坏，呈现良好色</w:t>
      </w:r>
      <w:r>
        <w:rPr>
          <w:spacing w:val="-1"/>
        </w:rPr>
        <w:t>泽的物质。</w:t>
      </w:r>
    </w:p>
    <w:p>
      <w:pPr>
        <w:pStyle w:val="2"/>
        <w:spacing w:before="53" w:line="338" w:lineRule="auto"/>
        <w:ind w:right="16" w:firstLine="659"/>
      </w:pPr>
      <w:r>
        <w:t>乳化剂，是指能改善乳化体中各种构成相之间的表面</w:t>
      </w:r>
      <w:r>
        <w:rPr>
          <w:spacing w:val="-1"/>
        </w:rPr>
        <w:t>张力，</w:t>
      </w:r>
      <w:r>
        <w:t xml:space="preserve"> </w:t>
      </w:r>
      <w:r>
        <w:rPr>
          <w:spacing w:val="8"/>
        </w:rPr>
        <w:t>形成均匀分散体或乳化体的物质。</w:t>
      </w:r>
    </w:p>
    <w:p>
      <w:pPr>
        <w:pStyle w:val="2"/>
        <w:spacing w:before="54" w:line="221" w:lineRule="auto"/>
        <w:ind w:left="645"/>
      </w:pPr>
      <w:r>
        <w:rPr>
          <w:spacing w:val="9"/>
        </w:rPr>
        <w:t>增味剂，是指补充或增强食品原有风味的物质。</w:t>
      </w:r>
    </w:p>
    <w:p>
      <w:pPr>
        <w:spacing w:line="221" w:lineRule="auto"/>
        <w:sectPr>
          <w:footerReference r:id="rId6" w:type="default"/>
          <w:pgSz w:w="12240" w:h="15840"/>
          <w:pgMar w:top="1346" w:right="1702" w:bottom="897" w:left="1803" w:header="0" w:footer="724" w:gutter="0"/>
          <w:cols w:space="720" w:num="1"/>
        </w:sectPr>
      </w:pPr>
    </w:p>
    <w:p>
      <w:pPr>
        <w:pStyle w:val="2"/>
        <w:spacing w:before="297" w:line="221" w:lineRule="auto"/>
        <w:jc w:val="right"/>
      </w:pPr>
      <w:r>
        <w:t>面粉处理剂，是指促进面粉的熟化和提高制品质量的物质。</w:t>
      </w:r>
    </w:p>
    <w:p>
      <w:pPr>
        <w:pStyle w:val="2"/>
        <w:spacing w:before="220" w:line="339" w:lineRule="auto"/>
        <w:ind w:left="5" w:right="97" w:firstLine="630"/>
      </w:pPr>
      <w:r>
        <w:rPr>
          <w:spacing w:val="9"/>
        </w:rPr>
        <w:t>被膜剂，是指涂抹于食品外表，起保质、保鲜、上光、防</w:t>
      </w:r>
      <w:r>
        <w:rPr>
          <w:spacing w:val="16"/>
        </w:rPr>
        <w:t xml:space="preserve"> </w:t>
      </w:r>
      <w:r>
        <w:rPr>
          <w:spacing w:val="7"/>
        </w:rPr>
        <w:t>止水分蒸发等作用的物质。</w:t>
      </w:r>
    </w:p>
    <w:p>
      <w:pPr>
        <w:pStyle w:val="2"/>
        <w:spacing w:before="51" w:line="338" w:lineRule="auto"/>
        <w:ind w:left="669" w:right="8" w:hanging="29"/>
      </w:pPr>
      <w:r>
        <w:rPr>
          <w:spacing w:val="10"/>
        </w:rPr>
        <w:t>水分保持剂，是指有助于保持食品中水分而加入的物质。</w:t>
      </w:r>
      <w:r>
        <w:rPr>
          <w:spacing w:val="12"/>
        </w:rPr>
        <w:t xml:space="preserve"> </w:t>
      </w:r>
      <w:r>
        <w:rPr>
          <w:spacing w:val="-1"/>
        </w:rPr>
        <w:t>防腐剂，是指防止食品腐败变质、延长食品储存期的物质。</w:t>
      </w:r>
    </w:p>
    <w:p>
      <w:pPr>
        <w:pStyle w:val="2"/>
        <w:spacing w:before="50" w:line="339" w:lineRule="auto"/>
        <w:ind w:left="7" w:right="97" w:firstLine="640"/>
      </w:pPr>
      <w:r>
        <w:rPr>
          <w:spacing w:val="9"/>
        </w:rPr>
        <w:t>稳定剂和凝固剂，是指使食品结构稳定或使食品组织结构</w:t>
      </w:r>
      <w:r>
        <w:rPr>
          <w:spacing w:val="3"/>
        </w:rPr>
        <w:t xml:space="preserve"> </w:t>
      </w:r>
      <w:r>
        <w:rPr>
          <w:spacing w:val="7"/>
        </w:rPr>
        <w:t>不变，增强黏性固形物的物质。</w:t>
      </w:r>
    </w:p>
    <w:p>
      <w:pPr>
        <w:pStyle w:val="2"/>
        <w:spacing w:before="50" w:line="221" w:lineRule="auto"/>
        <w:ind w:left="650"/>
      </w:pPr>
      <w:r>
        <w:rPr>
          <w:spacing w:val="8"/>
        </w:rPr>
        <w:t>甜味剂，是指赋予食品甜味的物质。</w:t>
      </w:r>
    </w:p>
    <w:p>
      <w:pPr>
        <w:pStyle w:val="2"/>
        <w:spacing w:before="224" w:line="343" w:lineRule="auto"/>
        <w:ind w:left="7" w:firstLine="630"/>
      </w:pPr>
      <w:r>
        <w:rPr>
          <w:spacing w:val="9"/>
        </w:rPr>
        <w:t>增稠剂，是指可以提高食品的黏稠度或形成凝胶，从而改</w:t>
      </w:r>
      <w:r>
        <w:rPr>
          <w:spacing w:val="14"/>
        </w:rPr>
        <w:t xml:space="preserve"> </w:t>
      </w:r>
      <w:r>
        <w:rPr>
          <w:spacing w:val="1"/>
        </w:rPr>
        <w:t>变食品的物理性状、赋予食品黏润、适宜的口感，并兼有乳化、</w:t>
      </w:r>
      <w:r>
        <w:rPr>
          <w:spacing w:val="9"/>
        </w:rPr>
        <w:t xml:space="preserve"> </w:t>
      </w:r>
      <w:r>
        <w:rPr>
          <w:spacing w:val="7"/>
        </w:rPr>
        <w:t>稳定或使呈悬浮状态作用的物质。</w:t>
      </w:r>
    </w:p>
    <w:p>
      <w:pPr>
        <w:pStyle w:val="2"/>
        <w:spacing w:before="53" w:line="344" w:lineRule="auto"/>
        <w:ind w:right="97" w:firstLine="647"/>
      </w:pPr>
      <w:r>
        <w:rPr>
          <w:spacing w:val="9"/>
        </w:rPr>
        <w:t>食品工业用加工助剂，是指有助于食品加工能顺利进行的</w:t>
      </w:r>
      <w:r>
        <w:rPr>
          <w:spacing w:val="5"/>
        </w:rPr>
        <w:t xml:space="preserve"> </w:t>
      </w:r>
      <w:r>
        <w:rPr>
          <w:spacing w:val="9"/>
        </w:rPr>
        <w:t>各种物质，与食品本身无关。如助滤、澄清、吸附、脱模、脱</w:t>
      </w:r>
      <w:r>
        <w:rPr>
          <w:spacing w:val="14"/>
        </w:rPr>
        <w:t xml:space="preserve"> </w:t>
      </w:r>
      <w:r>
        <w:rPr>
          <w:spacing w:val="7"/>
        </w:rPr>
        <w:t>色、脱皮、提取溶剂等。</w:t>
      </w:r>
    </w:p>
    <w:p>
      <w:pPr>
        <w:pStyle w:val="2"/>
        <w:spacing w:before="48" w:line="346" w:lineRule="auto"/>
        <w:ind w:left="16" w:right="97" w:firstLine="630"/>
        <w:jc w:val="both"/>
      </w:pPr>
      <w:r>
        <w:rPr>
          <w:spacing w:val="9"/>
        </w:rPr>
        <w:t>食品用香料，是指添加到食品产品中以产生香味、修饰香</w:t>
      </w:r>
      <w:r>
        <w:rPr>
          <w:spacing w:val="5"/>
        </w:rPr>
        <w:t xml:space="preserve"> </w:t>
      </w:r>
      <w:r>
        <w:rPr>
          <w:spacing w:val="9"/>
        </w:rPr>
        <w:t>味或提高香味的物质，包括食用天然香味物质、食用天然</w:t>
      </w:r>
      <w:r>
        <w:rPr>
          <w:spacing w:val="8"/>
        </w:rPr>
        <w:t>香味</w:t>
      </w:r>
      <w:r>
        <w:t xml:space="preserve"> </w:t>
      </w:r>
      <w:r>
        <w:rPr>
          <w:spacing w:val="9"/>
        </w:rPr>
        <w:t>复合物、食品用合成香料、食品用热加工香味料、烟熏食</w:t>
      </w:r>
      <w:r>
        <w:rPr>
          <w:spacing w:val="8"/>
        </w:rPr>
        <w:t>用香</w:t>
      </w:r>
      <w:r>
        <w:t xml:space="preserve"> </w:t>
      </w:r>
      <w:r>
        <w:rPr>
          <w:spacing w:val="-4"/>
        </w:rPr>
        <w:t>味料。</w:t>
      </w:r>
    </w:p>
    <w:p>
      <w:pPr>
        <w:pStyle w:val="2"/>
        <w:spacing w:before="53" w:line="338" w:lineRule="auto"/>
        <w:ind w:left="21" w:right="97" w:firstLine="620"/>
      </w:pPr>
      <w:r>
        <w:rPr>
          <w:spacing w:val="9"/>
        </w:rPr>
        <w:t>其他，是指上述功能类别中不能涵盖的发挥其他功能的单</w:t>
      </w:r>
      <w:r>
        <w:rPr>
          <w:spacing w:val="10"/>
        </w:rPr>
        <w:t xml:space="preserve"> </w:t>
      </w:r>
      <w:r>
        <w:rPr>
          <w:spacing w:val="5"/>
        </w:rPr>
        <w:t>一品种食品添加剂。</w:t>
      </w:r>
    </w:p>
    <w:p>
      <w:pPr>
        <w:pStyle w:val="2"/>
        <w:spacing w:before="80" w:line="224" w:lineRule="auto"/>
        <w:ind w:left="642"/>
      </w:pPr>
      <w:r>
        <w:rPr>
          <w:rFonts w:ascii="黑体" w:hAnsi="黑体" w:eastAsia="黑体" w:cs="黑体"/>
          <w:spacing w:val="9"/>
        </w:rPr>
        <w:t xml:space="preserve">第五条  </w:t>
      </w:r>
      <w:r>
        <w:rPr>
          <w:spacing w:val="9"/>
        </w:rPr>
        <w:t>食品用香精，是指由食品用香料与食品用香精辅</w:t>
      </w:r>
    </w:p>
    <w:p>
      <w:pPr>
        <w:spacing w:line="224" w:lineRule="auto"/>
        <w:sectPr>
          <w:footerReference r:id="rId7" w:type="default"/>
          <w:pgSz w:w="12240" w:h="15840"/>
          <w:pgMar w:top="1346" w:right="1702" w:bottom="897" w:left="1811" w:header="0" w:footer="724" w:gutter="0"/>
          <w:cols w:space="720" w:num="1"/>
        </w:sectPr>
      </w:pPr>
    </w:p>
    <w:p>
      <w:pPr>
        <w:pStyle w:val="2"/>
        <w:spacing w:before="324" w:line="346" w:lineRule="auto"/>
        <w:ind w:left="2" w:right="250" w:firstLine="10"/>
        <w:jc w:val="both"/>
      </w:pPr>
      <w:r>
        <w:rPr>
          <w:spacing w:val="9"/>
        </w:rPr>
        <w:t>料组成的用来起香味作用的浓缩调配混合物（只产生咸味、甜</w:t>
      </w:r>
      <w:r>
        <w:rPr>
          <w:spacing w:val="7"/>
        </w:rPr>
        <w:t xml:space="preserve"> </w:t>
      </w:r>
      <w:r>
        <w:rPr>
          <w:spacing w:val="9"/>
        </w:rPr>
        <w:t>味或酸味的配制品除外，也不包括增味剂）。食品用香精可以</w:t>
      </w:r>
      <w:r>
        <w:rPr>
          <w:spacing w:val="18"/>
        </w:rPr>
        <w:t xml:space="preserve"> </w:t>
      </w:r>
      <w:r>
        <w:rPr>
          <w:spacing w:val="9"/>
        </w:rPr>
        <w:t>含有或不含食品用香精辅料。通常不直接用于消费，而是用于</w:t>
      </w:r>
      <w:r>
        <w:rPr>
          <w:spacing w:val="18"/>
        </w:rPr>
        <w:t xml:space="preserve"> </w:t>
      </w:r>
      <w:r>
        <w:rPr>
          <w:spacing w:val="7"/>
        </w:rPr>
        <w:t>食品加工。食品用香精生产许可类别编号</w:t>
      </w:r>
      <w:r>
        <w:rPr>
          <w:spacing w:val="-49"/>
        </w:rPr>
        <w:t xml:space="preserve"> </w:t>
      </w:r>
      <w:r>
        <w:rPr>
          <w:rFonts w:ascii="Times New Roman" w:hAnsi="Times New Roman" w:eastAsia="Times New Roman" w:cs="Times New Roman"/>
          <w:spacing w:val="7"/>
        </w:rPr>
        <w:t>3202</w:t>
      </w:r>
      <w:r>
        <w:rPr>
          <w:spacing w:val="7"/>
        </w:rPr>
        <w:t>。</w:t>
      </w:r>
    </w:p>
    <w:p>
      <w:pPr>
        <w:pStyle w:val="2"/>
        <w:spacing w:before="48" w:line="346" w:lineRule="auto"/>
        <w:ind w:left="7" w:right="250" w:firstLine="640"/>
        <w:jc w:val="both"/>
      </w:pPr>
      <w:r>
        <w:rPr>
          <w:rFonts w:ascii="黑体" w:hAnsi="黑体" w:eastAsia="黑体" w:cs="黑体"/>
          <w:spacing w:val="9"/>
        </w:rPr>
        <w:t xml:space="preserve">第六条  </w:t>
      </w:r>
      <w:r>
        <w:rPr>
          <w:spacing w:val="9"/>
        </w:rPr>
        <w:t>复配食品添加剂，是指为了改善食品品质、便于</w:t>
      </w:r>
      <w:r>
        <w:rPr>
          <w:spacing w:val="1"/>
        </w:rPr>
        <w:t xml:space="preserve"> </w:t>
      </w:r>
      <w:r>
        <w:rPr>
          <w:spacing w:val="9"/>
        </w:rPr>
        <w:t>食品加工，将两种或两种以上单一品种的食品添加剂，添加或</w:t>
      </w:r>
      <w:r>
        <w:rPr>
          <w:spacing w:val="13"/>
        </w:rPr>
        <w:t xml:space="preserve"> </w:t>
      </w:r>
      <w:r>
        <w:rPr>
          <w:spacing w:val="9"/>
        </w:rPr>
        <w:t>不添加辅料，经物理方法混匀而成的食品添加剂。复配食品添</w:t>
      </w:r>
      <w:r>
        <w:rPr>
          <w:spacing w:val="13"/>
        </w:rPr>
        <w:t xml:space="preserve"> </w:t>
      </w:r>
      <w:r>
        <w:rPr>
          <w:spacing w:val="6"/>
        </w:rPr>
        <w:t>加剂生产许可类别编号</w:t>
      </w:r>
      <w:r>
        <w:rPr>
          <w:spacing w:val="-61"/>
        </w:rPr>
        <w:t xml:space="preserve"> </w:t>
      </w:r>
      <w:r>
        <w:rPr>
          <w:rFonts w:ascii="Times New Roman" w:hAnsi="Times New Roman" w:eastAsia="Times New Roman" w:cs="Times New Roman"/>
          <w:spacing w:val="6"/>
        </w:rPr>
        <w:t>3203</w:t>
      </w:r>
      <w:r>
        <w:rPr>
          <w:spacing w:val="6"/>
        </w:rPr>
        <w:t>。</w:t>
      </w:r>
    </w:p>
    <w:p>
      <w:pPr>
        <w:pStyle w:val="2"/>
        <w:spacing w:before="51" w:line="343" w:lineRule="auto"/>
        <w:ind w:right="250" w:firstLine="648"/>
      </w:pPr>
      <w:r>
        <w:rPr>
          <w:rFonts w:ascii="黑体" w:hAnsi="黑体" w:eastAsia="黑体" w:cs="黑体"/>
          <w:spacing w:val="9"/>
        </w:rPr>
        <w:t xml:space="preserve">第七条  </w:t>
      </w:r>
      <w:r>
        <w:rPr>
          <w:spacing w:val="9"/>
        </w:rPr>
        <w:t>食品营养强化剂，是指为了增加食品的营养成分</w:t>
      </w:r>
      <w:r>
        <w:rPr>
          <w:spacing w:val="1"/>
        </w:rPr>
        <w:t xml:space="preserve"> </w:t>
      </w:r>
      <w:r>
        <w:rPr>
          <w:spacing w:val="10"/>
        </w:rPr>
        <w:t>（价值）而加入到食品中的天然或人工合成的营</w:t>
      </w:r>
      <w:r>
        <w:rPr>
          <w:spacing w:val="9"/>
        </w:rPr>
        <w:t>养素和其他营</w:t>
      </w:r>
      <w:r>
        <w:t xml:space="preserve"> </w:t>
      </w:r>
      <w:r>
        <w:rPr>
          <w:spacing w:val="8"/>
        </w:rPr>
        <w:t>养成分。食品营养强化剂生产许可类别编号</w:t>
      </w:r>
      <w:r>
        <w:rPr>
          <w:spacing w:val="-60"/>
        </w:rPr>
        <w:t xml:space="preserve"> </w:t>
      </w:r>
      <w:r>
        <w:rPr>
          <w:rFonts w:ascii="Times New Roman" w:hAnsi="Times New Roman" w:eastAsia="Times New Roman" w:cs="Times New Roman"/>
          <w:spacing w:val="7"/>
        </w:rPr>
        <w:t>3204</w:t>
      </w:r>
      <w:r>
        <w:rPr>
          <w:spacing w:val="7"/>
        </w:rPr>
        <w:t>。</w:t>
      </w:r>
    </w:p>
    <w:p>
      <w:pPr>
        <w:pStyle w:val="2"/>
        <w:spacing w:before="53" w:line="346" w:lineRule="auto"/>
        <w:ind w:left="5" w:firstLine="643"/>
      </w:pPr>
      <w:r>
        <w:rPr>
          <w:rFonts w:ascii="黑体" w:hAnsi="黑体" w:eastAsia="黑体" w:cs="黑体"/>
          <w:spacing w:val="9"/>
        </w:rPr>
        <w:t xml:space="preserve">第八条  </w:t>
      </w:r>
      <w:r>
        <w:rPr>
          <w:spacing w:val="9"/>
        </w:rPr>
        <w:t>胶基糖果中基础剂物质，又名胶基、胶姆糖基础</w:t>
      </w:r>
      <w:r>
        <w:t xml:space="preserve">  </w:t>
      </w:r>
      <w:r>
        <w:rPr>
          <w:spacing w:val="6"/>
        </w:rPr>
        <w:t>剂，是指以橡胶和</w:t>
      </w:r>
      <w:r>
        <w:rPr>
          <w:rFonts w:ascii="Times New Roman" w:hAnsi="Times New Roman" w:eastAsia="Times New Roman" w:cs="Times New Roman"/>
          <w:spacing w:val="6"/>
        </w:rPr>
        <w:t>/</w:t>
      </w:r>
      <w:r>
        <w:rPr>
          <w:spacing w:val="6"/>
        </w:rPr>
        <w:t>或树脂等胶基配料经配合制成的用于胶基糖</w:t>
      </w:r>
      <w:r>
        <w:rPr>
          <w:spacing w:val="2"/>
        </w:rPr>
        <w:t xml:space="preserve">  </w:t>
      </w:r>
      <w:r>
        <w:rPr>
          <w:spacing w:val="6"/>
        </w:rPr>
        <w:t>果生产，使胶基糖果具有咀嚼性和</w:t>
      </w:r>
      <w:r>
        <w:rPr>
          <w:rFonts w:ascii="Times New Roman" w:hAnsi="Times New Roman" w:eastAsia="Times New Roman" w:cs="Times New Roman"/>
          <w:spacing w:val="6"/>
        </w:rPr>
        <w:t>/</w:t>
      </w:r>
      <w:r>
        <w:rPr>
          <w:spacing w:val="6"/>
        </w:rPr>
        <w:t>或起泡性，不以营养为目的</w:t>
      </w:r>
      <w:r>
        <w:rPr>
          <w:spacing w:val="2"/>
        </w:rPr>
        <w:t xml:space="preserve">  </w:t>
      </w:r>
      <w:r>
        <w:rPr>
          <w:spacing w:val="3"/>
        </w:rPr>
        <w:t>的基础剂物质。胶基糖果中基础剂物质生产许可类别编号</w:t>
      </w:r>
      <w:r>
        <w:rPr>
          <w:spacing w:val="-47"/>
        </w:rPr>
        <w:t xml:space="preserve"> </w:t>
      </w:r>
      <w:r>
        <w:rPr>
          <w:rFonts w:ascii="Times New Roman" w:hAnsi="Times New Roman" w:eastAsia="Times New Roman" w:cs="Times New Roman"/>
          <w:spacing w:val="3"/>
        </w:rPr>
        <w:t>3205</w:t>
      </w:r>
      <w:r>
        <w:rPr>
          <w:spacing w:val="3"/>
        </w:rPr>
        <w:t>。</w:t>
      </w:r>
    </w:p>
    <w:p>
      <w:pPr>
        <w:pStyle w:val="2"/>
        <w:spacing w:before="51" w:line="343" w:lineRule="auto"/>
        <w:ind w:left="17" w:right="249" w:firstLine="630"/>
      </w:pPr>
      <w:r>
        <w:rPr>
          <w:rFonts w:ascii="黑体" w:hAnsi="黑体" w:eastAsia="黑体" w:cs="黑体"/>
          <w:spacing w:val="9"/>
        </w:rPr>
        <w:t xml:space="preserve">第九条  </w:t>
      </w:r>
      <w:r>
        <w:rPr>
          <w:spacing w:val="9"/>
        </w:rPr>
        <w:t>酶制剂，是指由动物或植物的可食或非可食部分</w:t>
      </w:r>
      <w:r>
        <w:rPr>
          <w:spacing w:val="1"/>
        </w:rPr>
        <w:t xml:space="preserve"> </w:t>
      </w:r>
      <w:r>
        <w:rPr>
          <w:spacing w:val="9"/>
        </w:rPr>
        <w:t>直接提取，或由传统或通过基因修饰的微生物（包括但不限于</w:t>
      </w:r>
      <w:r>
        <w:rPr>
          <w:spacing w:val="3"/>
        </w:rPr>
        <w:t xml:space="preserve"> </w:t>
      </w:r>
      <w:r>
        <w:rPr>
          <w:spacing w:val="8"/>
        </w:rPr>
        <w:t>细菌、放线菌、真菌菌种）发酵、提取制得，用于食品加工，</w:t>
      </w:r>
    </w:p>
    <w:p>
      <w:pPr>
        <w:pStyle w:val="2"/>
        <w:spacing w:before="58" w:line="221" w:lineRule="auto"/>
        <w:jc w:val="right"/>
      </w:pPr>
      <w:r>
        <w:rPr>
          <w:spacing w:val="3"/>
        </w:rPr>
        <w:t>具有特殊催化功能的生物制品。酶制剂生产许可类别编号</w:t>
      </w:r>
      <w:r>
        <w:rPr>
          <w:spacing w:val="-59"/>
        </w:rPr>
        <w:t xml:space="preserve"> </w:t>
      </w:r>
      <w:r>
        <w:rPr>
          <w:rFonts w:ascii="Times New Roman" w:hAnsi="Times New Roman" w:eastAsia="Times New Roman" w:cs="Times New Roman"/>
          <w:spacing w:val="3"/>
        </w:rPr>
        <w:t>3206</w:t>
      </w:r>
      <w:r>
        <w:rPr>
          <w:spacing w:val="3"/>
        </w:rPr>
        <w:t>。</w:t>
      </w:r>
    </w:p>
    <w:p>
      <w:pPr>
        <w:pStyle w:val="2"/>
        <w:spacing w:before="221" w:line="226" w:lineRule="auto"/>
        <w:ind w:left="648"/>
      </w:pPr>
      <w:r>
        <w:rPr>
          <w:rFonts w:ascii="黑体" w:hAnsi="黑体" w:eastAsia="黑体" w:cs="黑体"/>
          <w:spacing w:val="8"/>
        </w:rPr>
        <w:t xml:space="preserve">第十条  </w:t>
      </w:r>
      <w:r>
        <w:rPr>
          <w:spacing w:val="8"/>
        </w:rPr>
        <w:t>食品添加剂允许分装的情况：</w:t>
      </w:r>
    </w:p>
    <w:p>
      <w:pPr>
        <w:pStyle w:val="2"/>
        <w:spacing w:before="191" w:line="220" w:lineRule="auto"/>
        <w:ind w:left="640"/>
      </w:pPr>
      <w:r>
        <w:rPr>
          <w:spacing w:val="6"/>
        </w:rPr>
        <w:t>（</w:t>
      </w:r>
      <w:r>
        <w:rPr>
          <w:spacing w:val="-62"/>
        </w:rPr>
        <w:t xml:space="preserve"> </w:t>
      </w:r>
      <w:r>
        <w:rPr>
          <w:spacing w:val="6"/>
        </w:rPr>
        <w:t>一）已取得食品添加剂生产许可，可申请食品添加剂碳</w:t>
      </w:r>
    </w:p>
    <w:p>
      <w:pPr>
        <w:spacing w:line="220" w:lineRule="auto"/>
        <w:sectPr>
          <w:footerReference r:id="rId8" w:type="default"/>
          <w:pgSz w:w="12240" w:h="15840"/>
          <w:pgMar w:top="1346" w:right="1550" w:bottom="895" w:left="1804" w:header="0" w:footer="724" w:gutter="0"/>
          <w:cols w:space="720" w:num="1"/>
        </w:sectPr>
      </w:pPr>
    </w:p>
    <w:p>
      <w:pPr>
        <w:pStyle w:val="2"/>
        <w:spacing w:before="296" w:line="224" w:lineRule="auto"/>
        <w:ind w:left="17"/>
      </w:pPr>
      <w:r>
        <w:rPr>
          <w:spacing w:val="6"/>
        </w:rPr>
        <w:t>酸钠、碳酸氢钠分装。</w:t>
      </w:r>
    </w:p>
    <w:p>
      <w:pPr>
        <w:pStyle w:val="2"/>
        <w:spacing w:before="218" w:line="309" w:lineRule="auto"/>
        <w:ind w:left="9" w:firstLine="630"/>
      </w:pPr>
      <w:r>
        <w:rPr>
          <w:spacing w:val="6"/>
        </w:rPr>
        <w:t>（</w:t>
      </w:r>
      <w:r>
        <w:rPr>
          <w:spacing w:val="-64"/>
        </w:rPr>
        <w:t xml:space="preserve"> </w:t>
      </w:r>
      <w:r>
        <w:rPr>
          <w:spacing w:val="6"/>
        </w:rPr>
        <w:t>二）已取得食品用香料或食品用香精生产许可，可申请</w:t>
      </w:r>
      <w:r>
        <w:t xml:space="preserve"> </w:t>
      </w:r>
      <w:r>
        <w:rPr>
          <w:spacing w:val="9"/>
        </w:rPr>
        <w:t>分装不属于危险化学品、易制毒化学品、精神药品的食品用香</w:t>
      </w:r>
      <w:r>
        <w:rPr>
          <w:spacing w:val="10"/>
        </w:rPr>
        <w:t xml:space="preserve"> </w:t>
      </w:r>
      <w:r>
        <w:rPr>
          <w:spacing w:val="-3"/>
        </w:rPr>
        <w:t>料。</w:t>
      </w:r>
    </w:p>
    <w:p>
      <w:pPr>
        <w:pStyle w:val="2"/>
        <w:spacing w:before="224" w:line="288" w:lineRule="auto"/>
        <w:ind w:left="7" w:right="2" w:firstLine="632"/>
      </w:pPr>
      <w:r>
        <w:rPr>
          <w:spacing w:val="6"/>
        </w:rPr>
        <w:t>（</w:t>
      </w:r>
      <w:r>
        <w:rPr>
          <w:spacing w:val="-64"/>
        </w:rPr>
        <w:t xml:space="preserve"> </w:t>
      </w:r>
      <w:r>
        <w:rPr>
          <w:spacing w:val="6"/>
        </w:rPr>
        <w:t>三）国家市场监督管理总局公布其他可以分装食品添加</w:t>
      </w:r>
      <w:r>
        <w:t xml:space="preserve"> </w:t>
      </w:r>
      <w:r>
        <w:rPr>
          <w:spacing w:val="5"/>
        </w:rPr>
        <w:t>剂的情况。</w:t>
      </w:r>
    </w:p>
    <w:p>
      <w:pPr>
        <w:pStyle w:val="2"/>
        <w:spacing w:before="247" w:line="335" w:lineRule="auto"/>
        <w:ind w:left="7" w:right="2" w:firstLine="640"/>
      </w:pPr>
      <w:r>
        <w:rPr>
          <w:rFonts w:ascii="黑体" w:hAnsi="黑体" w:eastAsia="黑体" w:cs="黑体"/>
          <w:spacing w:val="9"/>
        </w:rPr>
        <w:t xml:space="preserve">第十一条  </w:t>
      </w:r>
      <w:r>
        <w:rPr>
          <w:spacing w:val="9"/>
        </w:rPr>
        <w:t>本《细则》引用的标准、文件应当采用最</w:t>
      </w:r>
      <w:r>
        <w:rPr>
          <w:spacing w:val="8"/>
        </w:rPr>
        <w:t>新版</w:t>
      </w:r>
      <w:r>
        <w:t xml:space="preserve"> </w:t>
      </w:r>
      <w:r>
        <w:rPr>
          <w:spacing w:val="7"/>
        </w:rPr>
        <w:t>本（包括标准修改单）。</w:t>
      </w:r>
    </w:p>
    <w:p>
      <w:pPr>
        <w:spacing w:before="175" w:line="227" w:lineRule="auto"/>
        <w:ind w:left="3127"/>
        <w:outlineLvl w:val="1"/>
        <w:rPr>
          <w:rFonts w:ascii="黑体" w:hAnsi="黑体" w:eastAsia="黑体" w:cs="黑体"/>
          <w:sz w:val="31"/>
          <w:szCs w:val="31"/>
        </w:rPr>
      </w:pPr>
      <w:r>
        <w:rPr>
          <w:rFonts w:ascii="黑体" w:hAnsi="黑体" w:eastAsia="黑体" w:cs="黑体"/>
          <w:spacing w:val="7"/>
          <w:sz w:val="31"/>
          <w:szCs w:val="31"/>
        </w:rPr>
        <w:t>第二章 生产场所</w:t>
      </w:r>
    </w:p>
    <w:p>
      <w:pPr>
        <w:spacing w:line="277" w:lineRule="auto"/>
        <w:rPr>
          <w:rFonts w:ascii="Arial"/>
          <w:sz w:val="21"/>
        </w:rPr>
      </w:pPr>
    </w:p>
    <w:p>
      <w:pPr>
        <w:pStyle w:val="2"/>
        <w:spacing w:before="100" w:line="343" w:lineRule="auto"/>
        <w:ind w:left="14" w:right="2" w:firstLine="633"/>
        <w:jc w:val="both"/>
      </w:pPr>
      <w:r>
        <w:rPr>
          <w:rFonts w:ascii="黑体" w:hAnsi="黑体" w:eastAsia="黑体" w:cs="黑体"/>
          <w:spacing w:val="9"/>
        </w:rPr>
        <w:t xml:space="preserve">第十二条  </w:t>
      </w:r>
      <w:r>
        <w:rPr>
          <w:spacing w:val="9"/>
        </w:rPr>
        <w:t>厂区、厂房和车间、库房要求应当符合《</w:t>
      </w:r>
      <w:r>
        <w:rPr>
          <w:spacing w:val="8"/>
        </w:rPr>
        <w:t>食品</w:t>
      </w:r>
      <w:r>
        <w:t xml:space="preserve"> </w:t>
      </w:r>
      <w:r>
        <w:rPr>
          <w:spacing w:val="8"/>
        </w:rPr>
        <w:t>安全国家标准 食品添加剂生产通用卫生规范》（</w:t>
      </w:r>
      <w:r>
        <w:rPr>
          <w:spacing w:val="-80"/>
        </w:rPr>
        <w:t xml:space="preserve"> </w:t>
      </w:r>
      <w:r>
        <w:rPr>
          <w:rFonts w:ascii="Times New Roman" w:hAnsi="Times New Roman" w:eastAsia="Times New Roman" w:cs="Times New Roman"/>
        </w:rPr>
        <w:t>GB</w:t>
      </w:r>
      <w:r>
        <w:rPr>
          <w:rFonts w:ascii="Times New Roman" w:hAnsi="Times New Roman" w:eastAsia="Times New Roman" w:cs="Times New Roman"/>
          <w:spacing w:val="8"/>
        </w:rPr>
        <w:t xml:space="preserve"> 31647</w:t>
      </w:r>
      <w:r>
        <w:rPr>
          <w:rFonts w:ascii="Times New Roman" w:hAnsi="Times New Roman" w:eastAsia="Times New Roman" w:cs="Times New Roman"/>
          <w:spacing w:val="-27"/>
        </w:rPr>
        <w:t xml:space="preserve"> </w:t>
      </w:r>
      <w:r>
        <w:rPr>
          <w:spacing w:val="8"/>
        </w:rPr>
        <w:t>）</w:t>
      </w:r>
      <w:r>
        <w:t xml:space="preserve"> </w:t>
      </w:r>
      <w:r>
        <w:rPr>
          <w:spacing w:val="6"/>
        </w:rPr>
        <w:t>中生产场所相关规定。</w:t>
      </w:r>
    </w:p>
    <w:p>
      <w:pPr>
        <w:pStyle w:val="2"/>
        <w:spacing w:before="30" w:line="346" w:lineRule="auto"/>
        <w:ind w:firstLine="656"/>
        <w:jc w:val="both"/>
      </w:pPr>
      <w:r>
        <w:rPr>
          <w:spacing w:val="9"/>
        </w:rPr>
        <w:t>厂区不应选择对食品添加剂有显著污染的区域。厂区周围</w:t>
      </w:r>
      <w:r>
        <w:rPr>
          <w:spacing w:val="1"/>
        </w:rPr>
        <w:t xml:space="preserve"> </w:t>
      </w:r>
      <w:r>
        <w:rPr>
          <w:spacing w:val="10"/>
        </w:rPr>
        <w:t>无虫害大量孳生的潜在场所，无有害废弃物以</w:t>
      </w:r>
      <w:r>
        <w:rPr>
          <w:spacing w:val="9"/>
        </w:rPr>
        <w:t>及粉尘、有害气</w:t>
      </w:r>
      <w:r>
        <w:t xml:space="preserve"> </w:t>
      </w:r>
      <w:r>
        <w:rPr>
          <w:spacing w:val="10"/>
        </w:rPr>
        <w:t>体、放射性物质和其他扩散性污染源。各类污</w:t>
      </w:r>
      <w:r>
        <w:rPr>
          <w:spacing w:val="9"/>
        </w:rPr>
        <w:t>染源难以避开时</w:t>
      </w:r>
      <w:r>
        <w:t xml:space="preserve"> </w:t>
      </w:r>
      <w:r>
        <w:rPr>
          <w:spacing w:val="9"/>
        </w:rPr>
        <w:t>应当有必要的防范措施，能有效清除污染源造成的影响。</w:t>
      </w:r>
    </w:p>
    <w:p>
      <w:pPr>
        <w:pStyle w:val="2"/>
        <w:spacing w:before="74" w:line="344" w:lineRule="auto"/>
        <w:ind w:left="14" w:firstLine="633"/>
        <w:jc w:val="both"/>
      </w:pPr>
      <w:r>
        <w:rPr>
          <w:rFonts w:ascii="黑体" w:hAnsi="黑体" w:eastAsia="黑体" w:cs="黑体"/>
          <w:spacing w:val="9"/>
        </w:rPr>
        <w:t xml:space="preserve">第十三条  </w:t>
      </w:r>
      <w:r>
        <w:rPr>
          <w:spacing w:val="9"/>
        </w:rPr>
        <w:t>企业应当根据产品特点及工艺要求设置相</w:t>
      </w:r>
      <w:r>
        <w:rPr>
          <w:spacing w:val="8"/>
        </w:rPr>
        <w:t>应的</w:t>
      </w:r>
      <w:r>
        <w:t xml:space="preserve"> </w:t>
      </w:r>
      <w:r>
        <w:rPr>
          <w:spacing w:val="9"/>
        </w:rPr>
        <w:t>生产场所，具有与生产产品相适应的生产车间、原料及成品库</w:t>
      </w:r>
      <w:r>
        <w:rPr>
          <w:spacing w:val="5"/>
        </w:rPr>
        <w:t xml:space="preserve"> </w:t>
      </w:r>
      <w:r>
        <w:rPr>
          <w:spacing w:val="-1"/>
        </w:rPr>
        <w:t>房等。</w:t>
      </w:r>
    </w:p>
    <w:p>
      <w:pPr>
        <w:pStyle w:val="2"/>
        <w:spacing w:before="25" w:line="339" w:lineRule="auto"/>
        <w:ind w:left="21" w:firstLine="647"/>
      </w:pPr>
      <w:r>
        <w:rPr>
          <w:spacing w:val="8"/>
        </w:rPr>
        <w:t>生产车间及辅助设施的设置应当按生产工艺、卫生控制要</w:t>
      </w:r>
      <w:r>
        <w:rPr>
          <w:spacing w:val="15"/>
        </w:rPr>
        <w:t xml:space="preserve"> </w:t>
      </w:r>
      <w:r>
        <w:rPr>
          <w:spacing w:val="9"/>
        </w:rPr>
        <w:t>求有序合理布局，根据生产流程、操作需要和清洁度要求进行</w:t>
      </w:r>
    </w:p>
    <w:p>
      <w:pPr>
        <w:spacing w:line="339" w:lineRule="auto"/>
        <w:sectPr>
          <w:footerReference r:id="rId9" w:type="default"/>
          <w:pgSz w:w="12240" w:h="15840"/>
          <w:pgMar w:top="1346" w:right="1800" w:bottom="895" w:left="1805" w:header="0" w:footer="723" w:gutter="0"/>
          <w:cols w:space="720" w:num="1"/>
        </w:sectPr>
      </w:pPr>
    </w:p>
    <w:p>
      <w:pPr>
        <w:pStyle w:val="2"/>
        <w:spacing w:before="297" w:line="222" w:lineRule="auto"/>
        <w:ind w:left="2"/>
      </w:pPr>
      <w:r>
        <w:rPr>
          <w:spacing w:val="8"/>
        </w:rPr>
        <w:t>分离或分隔，避免交叉污染。</w:t>
      </w:r>
    </w:p>
    <w:p>
      <w:pPr>
        <w:pStyle w:val="2"/>
        <w:spacing w:before="248" w:line="348" w:lineRule="auto"/>
        <w:ind w:firstLine="640"/>
      </w:pPr>
      <w:r>
        <w:rPr>
          <w:rFonts w:ascii="黑体" w:hAnsi="黑体" w:eastAsia="黑体" w:cs="黑体"/>
          <w:spacing w:val="9"/>
        </w:rPr>
        <w:t xml:space="preserve">第十四条  </w:t>
      </w:r>
      <w:r>
        <w:rPr>
          <w:spacing w:val="9"/>
        </w:rPr>
        <w:t>生产车间划分为一般作业区、准清洁作业区、</w:t>
      </w:r>
      <w:r>
        <w:rPr>
          <w:spacing w:val="1"/>
        </w:rPr>
        <w:t xml:space="preserve"> </w:t>
      </w:r>
      <w:r>
        <w:rPr>
          <w:spacing w:val="9"/>
        </w:rPr>
        <w:t>清洁作业区或一般作业区、清洁作业区等，不同作业区之间应</w:t>
      </w:r>
      <w:r>
        <w:rPr>
          <w:spacing w:val="13"/>
        </w:rPr>
        <w:t xml:space="preserve"> </w:t>
      </w:r>
      <w:r>
        <w:rPr>
          <w:spacing w:val="9"/>
        </w:rPr>
        <w:t>当采取有效分离或分隔。厂区各生产作业区域应当有显著标识</w:t>
      </w:r>
      <w:r>
        <w:rPr>
          <w:spacing w:val="13"/>
        </w:rPr>
        <w:t xml:space="preserve"> </w:t>
      </w:r>
      <w:r>
        <w:rPr>
          <w:spacing w:val="9"/>
        </w:rPr>
        <w:t>加以区分，重要生产设施标志应当准确清晰，使用、贮存危险</w:t>
      </w:r>
      <w:r>
        <w:rPr>
          <w:spacing w:val="13"/>
        </w:rPr>
        <w:t xml:space="preserve"> </w:t>
      </w:r>
      <w:r>
        <w:rPr>
          <w:spacing w:val="9"/>
        </w:rPr>
        <w:t>化学品的场所，应当有明显警示标志和警示说明。食品添加剂</w:t>
      </w:r>
      <w:r>
        <w:rPr>
          <w:spacing w:val="13"/>
        </w:rPr>
        <w:t xml:space="preserve"> </w:t>
      </w:r>
      <w:r>
        <w:rPr>
          <w:spacing w:val="6"/>
        </w:rPr>
        <w:t>常规生产场所及生产作业区划分见表</w:t>
      </w:r>
      <w:r>
        <w:rPr>
          <w:spacing w:val="-32"/>
        </w:rPr>
        <w:t xml:space="preserve"> </w:t>
      </w:r>
      <w:r>
        <w:rPr>
          <w:rFonts w:ascii="Times New Roman" w:hAnsi="Times New Roman" w:eastAsia="Times New Roman" w:cs="Times New Roman"/>
          <w:spacing w:val="6"/>
        </w:rPr>
        <w:t>1</w:t>
      </w:r>
      <w:r>
        <w:rPr>
          <w:spacing w:val="6"/>
        </w:rPr>
        <w:t>。</w:t>
      </w:r>
    </w:p>
    <w:p>
      <w:pPr>
        <w:spacing w:before="190" w:line="212" w:lineRule="auto"/>
        <w:ind w:left="1627"/>
        <w:rPr>
          <w:rFonts w:ascii="黑体" w:hAnsi="黑体" w:eastAsia="黑体" w:cs="黑体"/>
          <w:sz w:val="28"/>
          <w:szCs w:val="28"/>
        </w:rPr>
      </w:pPr>
      <w:r>
        <w:rPr>
          <w:rFonts w:ascii="黑体" w:hAnsi="黑体" w:eastAsia="黑体" w:cs="黑体"/>
          <w:spacing w:val="-2"/>
          <w:sz w:val="28"/>
          <w:szCs w:val="28"/>
        </w:rPr>
        <w:t>表</w:t>
      </w:r>
      <w:r>
        <w:rPr>
          <w:rFonts w:ascii="黑体" w:hAnsi="黑体" w:eastAsia="黑体" w:cs="黑体"/>
          <w:spacing w:val="-38"/>
          <w:sz w:val="28"/>
          <w:szCs w:val="28"/>
        </w:rPr>
        <w:t xml:space="preserve"> </w:t>
      </w:r>
      <w:r>
        <w:rPr>
          <w:rFonts w:ascii="Times New Roman" w:hAnsi="Times New Roman" w:eastAsia="Times New Roman" w:cs="Times New Roman"/>
          <w:spacing w:val="-2"/>
          <w:sz w:val="28"/>
          <w:szCs w:val="28"/>
        </w:rPr>
        <w:t xml:space="preserve">1  </w:t>
      </w:r>
      <w:r>
        <w:rPr>
          <w:rFonts w:ascii="黑体" w:hAnsi="黑体" w:eastAsia="黑体" w:cs="黑体"/>
          <w:spacing w:val="-2"/>
          <w:sz w:val="28"/>
          <w:szCs w:val="28"/>
        </w:rPr>
        <w:t>食品添加剂常规生产场所及生产作业区划分</w:t>
      </w:r>
    </w:p>
    <w:tbl>
      <w:tblPr>
        <w:tblStyle w:val="5"/>
        <w:tblW w:w="8447"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9"/>
        <w:gridCol w:w="2081"/>
        <w:gridCol w:w="2341"/>
        <w:gridCol w:w="1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19" w:type="dxa"/>
            <w:vAlign w:val="top"/>
          </w:tcPr>
          <w:p>
            <w:pPr>
              <w:spacing w:before="282" w:line="224" w:lineRule="auto"/>
              <w:ind w:left="606"/>
              <w:rPr>
                <w:rFonts w:ascii="黑体" w:hAnsi="黑体" w:eastAsia="黑体" w:cs="黑体"/>
                <w:sz w:val="28"/>
                <w:szCs w:val="28"/>
              </w:rPr>
            </w:pPr>
            <w:r>
              <w:rPr>
                <w:rFonts w:ascii="黑体" w:hAnsi="黑体" w:eastAsia="黑体" w:cs="黑体"/>
                <w:spacing w:val="-2"/>
                <w:sz w:val="28"/>
                <w:szCs w:val="28"/>
              </w:rPr>
              <w:t>生产形式</w:t>
            </w:r>
          </w:p>
        </w:tc>
        <w:tc>
          <w:tcPr>
            <w:tcW w:w="2081" w:type="dxa"/>
            <w:vAlign w:val="top"/>
          </w:tcPr>
          <w:p>
            <w:pPr>
              <w:spacing w:before="282" w:line="222" w:lineRule="auto"/>
              <w:ind w:left="353"/>
              <w:rPr>
                <w:rFonts w:ascii="黑体" w:hAnsi="黑体" w:eastAsia="黑体" w:cs="黑体"/>
                <w:sz w:val="28"/>
                <w:szCs w:val="28"/>
              </w:rPr>
            </w:pPr>
            <w:r>
              <w:rPr>
                <w:rFonts w:ascii="黑体" w:hAnsi="黑体" w:eastAsia="黑体" w:cs="黑体"/>
                <w:spacing w:val="-3"/>
                <w:sz w:val="28"/>
                <w:szCs w:val="28"/>
              </w:rPr>
              <w:t>一般作业区</w:t>
            </w:r>
          </w:p>
        </w:tc>
        <w:tc>
          <w:tcPr>
            <w:tcW w:w="2341" w:type="dxa"/>
            <w:vAlign w:val="top"/>
          </w:tcPr>
          <w:p>
            <w:pPr>
              <w:spacing w:before="283" w:line="222" w:lineRule="auto"/>
              <w:ind w:left="340"/>
              <w:rPr>
                <w:rFonts w:ascii="黑体" w:hAnsi="黑体" w:eastAsia="黑体" w:cs="黑体"/>
                <w:sz w:val="28"/>
                <w:szCs w:val="28"/>
              </w:rPr>
            </w:pPr>
            <w:r>
              <w:rPr>
                <w:rFonts w:ascii="黑体" w:hAnsi="黑体" w:eastAsia="黑体" w:cs="黑体"/>
                <w:spacing w:val="-2"/>
                <w:sz w:val="28"/>
                <w:szCs w:val="28"/>
              </w:rPr>
              <w:t>准清洁作业区</w:t>
            </w:r>
          </w:p>
        </w:tc>
        <w:tc>
          <w:tcPr>
            <w:tcW w:w="1706" w:type="dxa"/>
            <w:vAlign w:val="top"/>
          </w:tcPr>
          <w:p>
            <w:pPr>
              <w:spacing w:before="83" w:line="236" w:lineRule="auto"/>
              <w:ind w:left="439" w:right="430" w:firstLine="144"/>
              <w:rPr>
                <w:rFonts w:ascii="黑体" w:hAnsi="黑体" w:eastAsia="黑体" w:cs="黑体"/>
                <w:sz w:val="28"/>
                <w:szCs w:val="28"/>
              </w:rPr>
            </w:pPr>
            <w:r>
              <w:rPr>
                <w:rFonts w:ascii="黑体" w:hAnsi="黑体" w:eastAsia="黑体" w:cs="黑体"/>
                <w:spacing w:val="-7"/>
                <w:sz w:val="28"/>
                <w:szCs w:val="28"/>
              </w:rPr>
              <w:t>清洁</w:t>
            </w:r>
            <w:r>
              <w:rPr>
                <w:rFonts w:ascii="黑体" w:hAnsi="黑体" w:eastAsia="黑体" w:cs="黑体"/>
                <w:sz w:val="28"/>
                <w:szCs w:val="28"/>
              </w:rPr>
              <w:t xml:space="preserve">  </w:t>
            </w:r>
            <w:r>
              <w:rPr>
                <w:rFonts w:ascii="黑体" w:hAnsi="黑体" w:eastAsia="黑体" w:cs="黑体"/>
                <w:spacing w:val="-3"/>
                <w:sz w:val="28"/>
                <w:szCs w:val="28"/>
              </w:rPr>
              <w:t>作业区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319" w:type="dxa"/>
            <w:vAlign w:val="top"/>
          </w:tcPr>
          <w:p>
            <w:pPr>
              <w:spacing w:line="331" w:lineRule="auto"/>
              <w:rPr>
                <w:rFonts w:ascii="Arial"/>
                <w:sz w:val="21"/>
              </w:rPr>
            </w:pPr>
          </w:p>
          <w:p>
            <w:pPr>
              <w:pStyle w:val="6"/>
              <w:spacing w:before="65" w:line="225" w:lineRule="auto"/>
              <w:ind w:left="327"/>
              <w:rPr>
                <w:rFonts w:ascii="Times New Roman" w:hAnsi="Times New Roman" w:eastAsia="Times New Roman" w:cs="Times New Roman"/>
                <w:sz w:val="13"/>
                <w:szCs w:val="13"/>
              </w:rPr>
            </w:pPr>
            <w:r>
              <w:rPr>
                <w:spacing w:val="7"/>
              </w:rPr>
              <w:t>化学法（合成）</w:t>
            </w:r>
            <w:r>
              <w:rPr>
                <w:rFonts w:ascii="Times New Roman" w:hAnsi="Times New Roman" w:eastAsia="Times New Roman" w:cs="Times New Roman"/>
                <w:spacing w:val="7"/>
                <w:position w:val="6"/>
                <w:sz w:val="13"/>
                <w:szCs w:val="13"/>
              </w:rPr>
              <w:t>a</w:t>
            </w:r>
          </w:p>
        </w:tc>
        <w:tc>
          <w:tcPr>
            <w:tcW w:w="2081" w:type="dxa"/>
            <w:vAlign w:val="top"/>
          </w:tcPr>
          <w:p>
            <w:pPr>
              <w:pStyle w:val="6"/>
              <w:spacing w:before="79" w:line="269" w:lineRule="auto"/>
              <w:ind w:left="125" w:right="281" w:firstLine="5"/>
            </w:pPr>
            <w:r>
              <w:rPr>
                <w:spacing w:val="7"/>
              </w:rPr>
              <w:t>原料库、成品库、</w:t>
            </w:r>
            <w:r>
              <w:rPr>
                <w:spacing w:val="6"/>
              </w:rPr>
              <w:t xml:space="preserve"> </w:t>
            </w:r>
            <w:r>
              <w:rPr>
                <w:spacing w:val="8"/>
              </w:rPr>
              <w:t>危险品库、前处理</w:t>
            </w:r>
            <w:r>
              <w:rPr>
                <w:spacing w:val="4"/>
              </w:rPr>
              <w:t xml:space="preserve"> </w:t>
            </w:r>
            <w:r>
              <w:rPr>
                <w:spacing w:val="8"/>
              </w:rPr>
              <w:t>区域、外包装区域</w:t>
            </w:r>
          </w:p>
        </w:tc>
        <w:tc>
          <w:tcPr>
            <w:tcW w:w="2341" w:type="dxa"/>
            <w:vAlign w:val="top"/>
          </w:tcPr>
          <w:p>
            <w:pPr>
              <w:pStyle w:val="6"/>
              <w:spacing w:before="236" w:line="281" w:lineRule="auto"/>
              <w:ind w:left="580" w:right="346" w:hanging="426"/>
            </w:pPr>
            <w:r>
              <w:rPr>
                <w:spacing w:val="3"/>
              </w:rPr>
              <w:t>合成、分离、精制、</w:t>
            </w:r>
            <w:r>
              <w:rPr>
                <w:spacing w:val="7"/>
              </w:rPr>
              <w:t xml:space="preserve"> </w:t>
            </w:r>
            <w:r>
              <w:rPr>
                <w:spacing w:val="6"/>
              </w:rPr>
              <w:t>干燥等区域</w:t>
            </w:r>
          </w:p>
        </w:tc>
        <w:tc>
          <w:tcPr>
            <w:tcW w:w="1706" w:type="dxa"/>
            <w:vAlign w:val="top"/>
          </w:tcPr>
          <w:p>
            <w:pPr>
              <w:spacing w:line="331" w:lineRule="auto"/>
              <w:rPr>
                <w:rFonts w:ascii="Arial"/>
                <w:sz w:val="21"/>
              </w:rPr>
            </w:pPr>
          </w:p>
          <w:p>
            <w:pPr>
              <w:pStyle w:val="6"/>
              <w:spacing w:before="65" w:line="225" w:lineRule="auto"/>
              <w:ind w:left="283"/>
            </w:pPr>
            <w:r>
              <w:rPr>
                <w:spacing w:val="2"/>
              </w:rPr>
              <w:t>内包装区域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319" w:type="dxa"/>
            <w:vAlign w:val="top"/>
          </w:tcPr>
          <w:p>
            <w:pPr>
              <w:spacing w:line="331" w:lineRule="auto"/>
              <w:rPr>
                <w:rFonts w:ascii="Arial"/>
                <w:sz w:val="21"/>
              </w:rPr>
            </w:pPr>
          </w:p>
          <w:p>
            <w:pPr>
              <w:pStyle w:val="6"/>
              <w:spacing w:before="65" w:line="225" w:lineRule="auto"/>
              <w:ind w:left="325"/>
              <w:rPr>
                <w:rFonts w:ascii="Times New Roman" w:hAnsi="Times New Roman" w:eastAsia="Times New Roman" w:cs="Times New Roman"/>
                <w:sz w:val="13"/>
                <w:szCs w:val="13"/>
              </w:rPr>
            </w:pPr>
            <w:r>
              <w:rPr>
                <w:spacing w:val="7"/>
              </w:rPr>
              <w:t>化学法（分离）</w:t>
            </w:r>
            <w:r>
              <w:rPr>
                <w:rFonts w:ascii="Times New Roman" w:hAnsi="Times New Roman" w:eastAsia="Times New Roman" w:cs="Times New Roman"/>
                <w:spacing w:val="7"/>
                <w:position w:val="6"/>
                <w:sz w:val="13"/>
                <w:szCs w:val="13"/>
              </w:rPr>
              <w:t>b</w:t>
            </w:r>
          </w:p>
        </w:tc>
        <w:tc>
          <w:tcPr>
            <w:tcW w:w="2081" w:type="dxa"/>
            <w:vAlign w:val="top"/>
          </w:tcPr>
          <w:p>
            <w:pPr>
              <w:pStyle w:val="6"/>
              <w:spacing w:before="79" w:line="269" w:lineRule="auto"/>
              <w:ind w:left="125" w:right="281" w:firstLine="5"/>
            </w:pPr>
            <w:r>
              <w:rPr>
                <w:spacing w:val="7"/>
              </w:rPr>
              <w:t>原料库、成品库、</w:t>
            </w:r>
            <w:r>
              <w:rPr>
                <w:spacing w:val="6"/>
              </w:rPr>
              <w:t xml:space="preserve"> </w:t>
            </w:r>
            <w:r>
              <w:rPr>
                <w:spacing w:val="8"/>
              </w:rPr>
              <w:t>危险品库、前处理</w:t>
            </w:r>
            <w:r>
              <w:rPr>
                <w:spacing w:val="4"/>
              </w:rPr>
              <w:t xml:space="preserve"> </w:t>
            </w:r>
            <w:r>
              <w:rPr>
                <w:spacing w:val="8"/>
              </w:rPr>
              <w:t>区域、外包装区域</w:t>
            </w:r>
          </w:p>
        </w:tc>
        <w:tc>
          <w:tcPr>
            <w:tcW w:w="2341" w:type="dxa"/>
            <w:vAlign w:val="top"/>
          </w:tcPr>
          <w:p>
            <w:pPr>
              <w:pStyle w:val="6"/>
              <w:spacing w:before="239" w:line="279" w:lineRule="auto"/>
              <w:ind w:left="265" w:right="346" w:hanging="112"/>
            </w:pPr>
            <w:r>
              <w:rPr>
                <w:spacing w:val="4"/>
              </w:rPr>
              <w:t>分离、精制、纯化、</w:t>
            </w:r>
            <w:r>
              <w:t xml:space="preserve"> </w:t>
            </w:r>
            <w:r>
              <w:rPr>
                <w:spacing w:val="7"/>
              </w:rPr>
              <w:t>干燥、压缩等区域</w:t>
            </w:r>
          </w:p>
        </w:tc>
        <w:tc>
          <w:tcPr>
            <w:tcW w:w="1706" w:type="dxa"/>
            <w:vAlign w:val="top"/>
          </w:tcPr>
          <w:p>
            <w:pPr>
              <w:spacing w:line="331" w:lineRule="auto"/>
              <w:rPr>
                <w:rFonts w:ascii="Arial"/>
                <w:sz w:val="21"/>
              </w:rPr>
            </w:pPr>
          </w:p>
          <w:p>
            <w:pPr>
              <w:pStyle w:val="6"/>
              <w:spacing w:before="65" w:line="225" w:lineRule="auto"/>
              <w:ind w:left="283"/>
            </w:pPr>
            <w:r>
              <w:rPr>
                <w:spacing w:val="2"/>
              </w:rPr>
              <w:t>内包装区域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319" w:type="dxa"/>
            <w:vAlign w:val="top"/>
          </w:tcPr>
          <w:p>
            <w:pPr>
              <w:spacing w:line="332" w:lineRule="auto"/>
              <w:rPr>
                <w:rFonts w:ascii="Arial"/>
                <w:sz w:val="21"/>
              </w:rPr>
            </w:pPr>
          </w:p>
          <w:p>
            <w:pPr>
              <w:pStyle w:val="6"/>
              <w:spacing w:before="65" w:line="224" w:lineRule="auto"/>
              <w:ind w:left="122"/>
              <w:rPr>
                <w:rFonts w:ascii="Times New Roman" w:hAnsi="Times New Roman" w:eastAsia="Times New Roman" w:cs="Times New Roman"/>
                <w:sz w:val="13"/>
                <w:szCs w:val="13"/>
              </w:rPr>
            </w:pPr>
            <w:r>
              <w:rPr>
                <w:spacing w:val="6"/>
              </w:rPr>
              <w:t>物理分离法（气体）</w:t>
            </w:r>
            <w:r>
              <w:rPr>
                <w:rFonts w:ascii="Times New Roman" w:hAnsi="Times New Roman" w:eastAsia="Times New Roman" w:cs="Times New Roman"/>
                <w:spacing w:val="6"/>
                <w:position w:val="6"/>
                <w:sz w:val="13"/>
                <w:szCs w:val="13"/>
              </w:rPr>
              <w:t>c</w:t>
            </w:r>
          </w:p>
        </w:tc>
        <w:tc>
          <w:tcPr>
            <w:tcW w:w="2081" w:type="dxa"/>
            <w:vAlign w:val="top"/>
          </w:tcPr>
          <w:p>
            <w:pPr>
              <w:pStyle w:val="6"/>
              <w:spacing w:before="79" w:line="279" w:lineRule="auto"/>
              <w:ind w:left="130" w:right="281"/>
            </w:pPr>
            <w:r>
              <w:rPr>
                <w:spacing w:val="7"/>
              </w:rPr>
              <w:t>原料库、成品库、</w:t>
            </w:r>
            <w:r>
              <w:rPr>
                <w:spacing w:val="6"/>
              </w:rPr>
              <w:t xml:space="preserve"> </w:t>
            </w:r>
            <w:r>
              <w:rPr>
                <w:spacing w:val="7"/>
              </w:rPr>
              <w:t>前处理区域、外包</w:t>
            </w:r>
          </w:p>
          <w:p>
            <w:pPr>
              <w:pStyle w:val="6"/>
              <w:spacing w:before="36" w:line="215" w:lineRule="auto"/>
              <w:ind w:left="650"/>
            </w:pPr>
            <w:r>
              <w:rPr>
                <w:spacing w:val="6"/>
              </w:rPr>
              <w:t>装区域</w:t>
            </w:r>
          </w:p>
        </w:tc>
        <w:tc>
          <w:tcPr>
            <w:tcW w:w="2341" w:type="dxa"/>
            <w:vAlign w:val="top"/>
          </w:tcPr>
          <w:p>
            <w:pPr>
              <w:pStyle w:val="6"/>
              <w:spacing w:before="241" w:line="279" w:lineRule="auto"/>
              <w:ind w:left="576" w:right="346" w:hanging="425"/>
            </w:pPr>
            <w:r>
              <w:rPr>
                <w:spacing w:val="4"/>
              </w:rPr>
              <w:t>加压、液化、精馏、</w:t>
            </w:r>
            <w:r>
              <w:t xml:space="preserve"> </w:t>
            </w:r>
            <w:r>
              <w:rPr>
                <w:spacing w:val="7"/>
              </w:rPr>
              <w:t>过滤等区域</w:t>
            </w:r>
          </w:p>
        </w:tc>
        <w:tc>
          <w:tcPr>
            <w:tcW w:w="1706" w:type="dxa"/>
            <w:vAlign w:val="top"/>
          </w:tcPr>
          <w:p>
            <w:pPr>
              <w:spacing w:line="332" w:lineRule="auto"/>
              <w:rPr>
                <w:rFonts w:ascii="Arial"/>
                <w:sz w:val="21"/>
              </w:rPr>
            </w:pPr>
          </w:p>
          <w:p>
            <w:pPr>
              <w:pStyle w:val="6"/>
              <w:spacing w:before="65" w:line="225" w:lineRule="auto"/>
              <w:ind w:left="283"/>
            </w:pPr>
            <w:r>
              <w:rPr>
                <w:spacing w:val="2"/>
              </w:rPr>
              <w:t>内包装区域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319" w:type="dxa"/>
            <w:vAlign w:val="top"/>
          </w:tcPr>
          <w:p>
            <w:pPr>
              <w:pStyle w:val="6"/>
              <w:spacing w:before="80" w:line="269" w:lineRule="auto"/>
              <w:ind w:left="140" w:right="292" w:firstLine="11"/>
              <w:jc w:val="both"/>
            </w:pPr>
            <w:r>
              <w:rPr>
                <w:spacing w:val="7"/>
              </w:rPr>
              <w:t>动植物等天然原料提</w:t>
            </w:r>
            <w:r>
              <w:rPr>
                <w:spacing w:val="5"/>
              </w:rPr>
              <w:t xml:space="preserve"> </w:t>
            </w:r>
            <w:r>
              <w:rPr>
                <w:spacing w:val="8"/>
              </w:rPr>
              <w:t>取法（包括蒸馏、粉</w:t>
            </w:r>
            <w:r>
              <w:rPr>
                <w:spacing w:val="7"/>
              </w:rPr>
              <w:t xml:space="preserve"> </w:t>
            </w:r>
            <w:r>
              <w:rPr>
                <w:spacing w:val="8"/>
              </w:rPr>
              <w:t>碎、压榨、提取等）</w:t>
            </w:r>
          </w:p>
        </w:tc>
        <w:tc>
          <w:tcPr>
            <w:tcW w:w="2081" w:type="dxa"/>
            <w:vAlign w:val="top"/>
          </w:tcPr>
          <w:p>
            <w:pPr>
              <w:pStyle w:val="6"/>
              <w:spacing w:before="80" w:line="269" w:lineRule="auto"/>
              <w:ind w:left="125" w:right="281" w:firstLine="5"/>
            </w:pPr>
            <w:r>
              <w:rPr>
                <w:spacing w:val="7"/>
              </w:rPr>
              <w:t>原料库、成品库、</w:t>
            </w:r>
            <w:r>
              <w:rPr>
                <w:spacing w:val="6"/>
              </w:rPr>
              <w:t xml:space="preserve"> </w:t>
            </w:r>
            <w:r>
              <w:rPr>
                <w:spacing w:val="8"/>
              </w:rPr>
              <w:t>危险品库、前处理</w:t>
            </w:r>
            <w:r>
              <w:rPr>
                <w:spacing w:val="4"/>
              </w:rPr>
              <w:t xml:space="preserve"> </w:t>
            </w:r>
            <w:r>
              <w:rPr>
                <w:spacing w:val="8"/>
              </w:rPr>
              <w:t>区域、外包装区域</w:t>
            </w:r>
          </w:p>
        </w:tc>
        <w:tc>
          <w:tcPr>
            <w:tcW w:w="2341" w:type="dxa"/>
            <w:vAlign w:val="top"/>
          </w:tcPr>
          <w:p>
            <w:pPr>
              <w:pStyle w:val="6"/>
              <w:spacing w:before="241" w:line="278" w:lineRule="auto"/>
              <w:ind w:left="576" w:right="346" w:hanging="421"/>
            </w:pPr>
            <w:r>
              <w:rPr>
                <w:spacing w:val="3"/>
              </w:rPr>
              <w:t>蒸馏、粉碎、压榨、</w:t>
            </w:r>
            <w:r>
              <w:rPr>
                <w:spacing w:val="5"/>
              </w:rPr>
              <w:t xml:space="preserve"> </w:t>
            </w:r>
            <w:r>
              <w:rPr>
                <w:spacing w:val="7"/>
              </w:rPr>
              <w:t>萃取等区域</w:t>
            </w:r>
          </w:p>
        </w:tc>
        <w:tc>
          <w:tcPr>
            <w:tcW w:w="1706" w:type="dxa"/>
            <w:vAlign w:val="top"/>
          </w:tcPr>
          <w:p>
            <w:pPr>
              <w:spacing w:line="335" w:lineRule="auto"/>
              <w:rPr>
                <w:rFonts w:ascii="Arial"/>
                <w:sz w:val="21"/>
              </w:rPr>
            </w:pPr>
          </w:p>
          <w:p>
            <w:pPr>
              <w:pStyle w:val="6"/>
              <w:spacing w:before="65" w:line="225" w:lineRule="auto"/>
              <w:ind w:left="283"/>
            </w:pPr>
            <w:r>
              <w:rPr>
                <w:spacing w:val="2"/>
              </w:rPr>
              <w:t>内包装区域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2319" w:type="dxa"/>
            <w:vAlign w:val="top"/>
          </w:tcPr>
          <w:p>
            <w:pPr>
              <w:spacing w:line="334" w:lineRule="auto"/>
              <w:rPr>
                <w:rFonts w:ascii="Arial"/>
                <w:sz w:val="21"/>
              </w:rPr>
            </w:pPr>
          </w:p>
          <w:p>
            <w:pPr>
              <w:pStyle w:val="6"/>
              <w:spacing w:before="65" w:line="224" w:lineRule="auto"/>
              <w:ind w:left="129"/>
            </w:pPr>
            <w:r>
              <w:rPr>
                <w:spacing w:val="1"/>
              </w:rPr>
              <w:t>生物发酵法（发酵法、</w:t>
            </w:r>
          </w:p>
          <w:p>
            <w:pPr>
              <w:pStyle w:val="6"/>
              <w:spacing w:before="76" w:line="227" w:lineRule="auto"/>
              <w:ind w:left="672"/>
            </w:pPr>
            <w:r>
              <w:rPr>
                <w:spacing w:val="4"/>
              </w:rPr>
              <w:t>酶法等）</w:t>
            </w:r>
          </w:p>
        </w:tc>
        <w:tc>
          <w:tcPr>
            <w:tcW w:w="2081" w:type="dxa"/>
            <w:vAlign w:val="top"/>
          </w:tcPr>
          <w:p>
            <w:pPr>
              <w:pStyle w:val="6"/>
              <w:spacing w:before="81" w:line="285" w:lineRule="auto"/>
              <w:ind w:left="125" w:right="281" w:firstLine="5"/>
            </w:pPr>
            <w:r>
              <w:rPr>
                <w:spacing w:val="7"/>
              </w:rPr>
              <w:t>原料库、成品库、</w:t>
            </w:r>
            <w:r>
              <w:rPr>
                <w:spacing w:val="6"/>
              </w:rPr>
              <w:t xml:space="preserve"> </w:t>
            </w:r>
            <w:r>
              <w:rPr>
                <w:spacing w:val="8"/>
              </w:rPr>
              <w:t>危险品库、外包装</w:t>
            </w:r>
            <w:r>
              <w:rPr>
                <w:spacing w:val="4"/>
              </w:rPr>
              <w:t xml:space="preserve"> </w:t>
            </w:r>
            <w:r>
              <w:rPr>
                <w:spacing w:val="7"/>
              </w:rPr>
              <w:t>间、前处理区域、</w:t>
            </w:r>
          </w:p>
          <w:p>
            <w:pPr>
              <w:pStyle w:val="6"/>
              <w:spacing w:before="32" w:line="216" w:lineRule="auto"/>
              <w:ind w:left="449"/>
            </w:pPr>
            <w:r>
              <w:rPr>
                <w:spacing w:val="6"/>
              </w:rPr>
              <w:t>外包装区域</w:t>
            </w:r>
          </w:p>
        </w:tc>
        <w:tc>
          <w:tcPr>
            <w:tcW w:w="2341" w:type="dxa"/>
            <w:vAlign w:val="top"/>
          </w:tcPr>
          <w:p>
            <w:pPr>
              <w:spacing w:line="334" w:lineRule="auto"/>
              <w:rPr>
                <w:rFonts w:ascii="Arial"/>
                <w:sz w:val="21"/>
              </w:rPr>
            </w:pPr>
          </w:p>
          <w:p>
            <w:pPr>
              <w:pStyle w:val="6"/>
              <w:spacing w:before="65" w:line="280" w:lineRule="auto"/>
              <w:ind w:left="792" w:right="303" w:hanging="632"/>
            </w:pPr>
            <w:r>
              <w:rPr>
                <w:spacing w:val="7"/>
              </w:rPr>
              <w:t xml:space="preserve">配料、发酵、酶处理 </w:t>
            </w:r>
            <w:r>
              <w:rPr>
                <w:spacing w:val="3"/>
              </w:rPr>
              <w:t>等区域</w:t>
            </w:r>
          </w:p>
        </w:tc>
        <w:tc>
          <w:tcPr>
            <w:tcW w:w="1706" w:type="dxa"/>
            <w:vAlign w:val="top"/>
          </w:tcPr>
          <w:p>
            <w:pPr>
              <w:spacing w:line="246" w:lineRule="auto"/>
              <w:rPr>
                <w:rFonts w:ascii="Arial"/>
                <w:sz w:val="21"/>
              </w:rPr>
            </w:pPr>
          </w:p>
          <w:p>
            <w:pPr>
              <w:spacing w:line="246" w:lineRule="auto"/>
              <w:rPr>
                <w:rFonts w:ascii="Arial"/>
                <w:sz w:val="21"/>
              </w:rPr>
            </w:pPr>
          </w:p>
          <w:p>
            <w:pPr>
              <w:pStyle w:val="6"/>
              <w:spacing w:before="65" w:line="225" w:lineRule="auto"/>
              <w:ind w:left="283"/>
            </w:pPr>
            <w:r>
              <w:rPr>
                <w:spacing w:val="2"/>
              </w:rPr>
              <w:t>内包装区域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2319" w:type="dxa"/>
            <w:vAlign w:val="top"/>
          </w:tcPr>
          <w:p>
            <w:pPr>
              <w:pStyle w:val="6"/>
              <w:spacing w:before="82" w:line="220" w:lineRule="auto"/>
              <w:ind w:left="216"/>
            </w:pPr>
            <w:r>
              <w:rPr>
                <w:spacing w:val="7"/>
              </w:rPr>
              <w:t>物理混合法</w:t>
            </w:r>
            <w:r>
              <w:rPr>
                <w:rFonts w:ascii="Times New Roman" w:hAnsi="Times New Roman" w:eastAsia="Times New Roman" w:cs="Times New Roman"/>
                <w:spacing w:val="7"/>
              </w:rPr>
              <w:t>(</w:t>
            </w:r>
            <w:r>
              <w:rPr>
                <w:spacing w:val="7"/>
              </w:rPr>
              <w:t>有微生</w:t>
            </w:r>
          </w:p>
          <w:p>
            <w:pPr>
              <w:pStyle w:val="6"/>
              <w:spacing w:before="80" w:line="224" w:lineRule="auto"/>
              <w:ind w:left="146"/>
            </w:pPr>
            <w:r>
              <w:rPr>
                <w:spacing w:val="8"/>
              </w:rPr>
              <w:t>物指标要求的复配食</w:t>
            </w:r>
          </w:p>
          <w:p>
            <w:pPr>
              <w:pStyle w:val="6"/>
              <w:spacing w:before="79" w:line="226" w:lineRule="auto"/>
              <w:ind w:left="166"/>
            </w:pPr>
            <w:r>
              <w:rPr>
                <w:spacing w:val="6"/>
              </w:rPr>
              <w:t>品添加剂和食品用香</w:t>
            </w:r>
          </w:p>
          <w:p>
            <w:pPr>
              <w:pStyle w:val="6"/>
              <w:spacing w:before="74" w:line="214" w:lineRule="auto"/>
              <w:ind w:left="839"/>
              <w:rPr>
                <w:rFonts w:ascii="Times New Roman" w:hAnsi="Times New Roman" w:eastAsia="Times New Roman" w:cs="Times New Roman"/>
              </w:rPr>
            </w:pPr>
            <w:r>
              <w:rPr>
                <w:spacing w:val="5"/>
              </w:rPr>
              <w:t>精等</w:t>
            </w:r>
            <w:r>
              <w:rPr>
                <w:rFonts w:ascii="Times New Roman" w:hAnsi="Times New Roman" w:eastAsia="Times New Roman" w:cs="Times New Roman"/>
                <w:spacing w:val="5"/>
              </w:rPr>
              <w:t>)</w:t>
            </w:r>
          </w:p>
        </w:tc>
        <w:tc>
          <w:tcPr>
            <w:tcW w:w="2081" w:type="dxa"/>
            <w:vAlign w:val="top"/>
          </w:tcPr>
          <w:p>
            <w:pPr>
              <w:pStyle w:val="6"/>
              <w:spacing w:before="243" w:line="279" w:lineRule="auto"/>
              <w:ind w:left="125" w:right="281" w:firstLine="5"/>
            </w:pPr>
            <w:r>
              <w:rPr>
                <w:spacing w:val="7"/>
              </w:rPr>
              <w:t>原料库、成品库、</w:t>
            </w:r>
            <w:r>
              <w:rPr>
                <w:spacing w:val="6"/>
              </w:rPr>
              <w:t xml:space="preserve"> </w:t>
            </w:r>
            <w:r>
              <w:rPr>
                <w:spacing w:val="8"/>
              </w:rPr>
              <w:t>危险品库、外包装</w:t>
            </w:r>
          </w:p>
          <w:p>
            <w:pPr>
              <w:pStyle w:val="6"/>
              <w:spacing w:before="32" w:line="227" w:lineRule="auto"/>
              <w:ind w:left="785"/>
            </w:pPr>
            <w:r>
              <w:rPr>
                <w:spacing w:val="-10"/>
              </w:rPr>
              <w:t>区域</w:t>
            </w:r>
          </w:p>
        </w:tc>
        <w:tc>
          <w:tcPr>
            <w:tcW w:w="2341" w:type="dxa"/>
            <w:vAlign w:val="top"/>
          </w:tcPr>
          <w:p>
            <w:pPr>
              <w:spacing w:line="247" w:lineRule="auto"/>
              <w:rPr>
                <w:rFonts w:ascii="Arial"/>
                <w:sz w:val="21"/>
              </w:rPr>
            </w:pPr>
          </w:p>
          <w:p>
            <w:pPr>
              <w:spacing w:line="247" w:lineRule="auto"/>
              <w:rPr>
                <w:rFonts w:ascii="Arial"/>
                <w:sz w:val="21"/>
              </w:rPr>
            </w:pPr>
          </w:p>
          <w:p>
            <w:pPr>
              <w:pStyle w:val="6"/>
              <w:spacing w:before="65" w:line="225" w:lineRule="auto"/>
              <w:ind w:left="683"/>
            </w:pPr>
            <w:r>
              <w:rPr>
                <w:spacing w:val="5"/>
              </w:rPr>
              <w:t>缓冲区域</w:t>
            </w:r>
          </w:p>
        </w:tc>
        <w:tc>
          <w:tcPr>
            <w:tcW w:w="1706" w:type="dxa"/>
            <w:vAlign w:val="top"/>
          </w:tcPr>
          <w:p>
            <w:pPr>
              <w:pStyle w:val="6"/>
              <w:spacing w:before="243" w:line="223" w:lineRule="auto"/>
              <w:ind w:left="157"/>
            </w:pPr>
            <w:r>
              <w:rPr>
                <w:spacing w:val="5"/>
              </w:rPr>
              <w:t>配料、投料、</w:t>
            </w:r>
          </w:p>
          <w:p>
            <w:pPr>
              <w:pStyle w:val="6"/>
              <w:spacing w:before="77" w:line="280" w:lineRule="auto"/>
              <w:ind w:left="595" w:right="303" w:hanging="438"/>
            </w:pPr>
            <w:r>
              <w:rPr>
                <w:spacing w:val="-2"/>
              </w:rPr>
              <w:t>混合、</w:t>
            </w:r>
            <w:r>
              <w:rPr>
                <w:spacing w:val="-50"/>
              </w:rPr>
              <w:t xml:space="preserve"> </w:t>
            </w:r>
            <w:r>
              <w:rPr>
                <w:spacing w:val="-2"/>
              </w:rPr>
              <w:t>内包装</w:t>
            </w:r>
            <w:r>
              <w:t xml:space="preserve"> </w:t>
            </w:r>
            <w:r>
              <w:rPr>
                <w:spacing w:val="-10"/>
              </w:rPr>
              <w:t>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319" w:type="dxa"/>
            <w:vAlign w:val="top"/>
          </w:tcPr>
          <w:p>
            <w:pPr>
              <w:pStyle w:val="6"/>
              <w:spacing w:before="81" w:line="257" w:lineRule="auto"/>
              <w:ind w:left="146" w:right="292" w:firstLine="69"/>
            </w:pPr>
            <w:r>
              <w:rPr>
                <w:spacing w:val="7"/>
              </w:rPr>
              <w:t>物理混合法</w:t>
            </w:r>
            <w:r>
              <w:rPr>
                <w:rFonts w:ascii="Times New Roman" w:hAnsi="Times New Roman" w:eastAsia="Times New Roman" w:cs="Times New Roman"/>
                <w:spacing w:val="7"/>
              </w:rPr>
              <w:t>(</w:t>
            </w:r>
            <w:r>
              <w:rPr>
                <w:spacing w:val="7"/>
              </w:rPr>
              <w:t>无微生</w:t>
            </w:r>
            <w:r>
              <w:rPr>
                <w:spacing w:val="4"/>
              </w:rPr>
              <w:t xml:space="preserve"> </w:t>
            </w:r>
            <w:r>
              <w:rPr>
                <w:spacing w:val="8"/>
              </w:rPr>
              <w:t>物指标要求的复配食</w:t>
            </w:r>
          </w:p>
        </w:tc>
        <w:tc>
          <w:tcPr>
            <w:tcW w:w="2081" w:type="dxa"/>
            <w:vAlign w:val="top"/>
          </w:tcPr>
          <w:p>
            <w:pPr>
              <w:pStyle w:val="6"/>
              <w:spacing w:before="81" w:line="257" w:lineRule="auto"/>
              <w:ind w:left="125" w:right="281" w:firstLine="5"/>
            </w:pPr>
            <w:r>
              <w:rPr>
                <w:spacing w:val="7"/>
              </w:rPr>
              <w:t>原料库、成品库、</w:t>
            </w:r>
            <w:r>
              <w:rPr>
                <w:spacing w:val="6"/>
              </w:rPr>
              <w:t xml:space="preserve"> </w:t>
            </w:r>
            <w:r>
              <w:rPr>
                <w:spacing w:val="8"/>
              </w:rPr>
              <w:t>危险品库、外包装</w:t>
            </w:r>
          </w:p>
        </w:tc>
        <w:tc>
          <w:tcPr>
            <w:tcW w:w="2341" w:type="dxa"/>
            <w:vAlign w:val="top"/>
          </w:tcPr>
          <w:p>
            <w:pPr>
              <w:pStyle w:val="6"/>
              <w:spacing w:before="81" w:line="257" w:lineRule="auto"/>
              <w:ind w:left="154" w:right="303" w:firstLine="3"/>
            </w:pPr>
            <w:r>
              <w:rPr>
                <w:spacing w:val="8"/>
              </w:rPr>
              <w:t>缓冲区域、配料、投</w:t>
            </w:r>
            <w:r>
              <w:rPr>
                <w:spacing w:val="1"/>
              </w:rPr>
              <w:t xml:space="preserve"> </w:t>
            </w:r>
            <w:r>
              <w:rPr>
                <w:spacing w:val="3"/>
              </w:rPr>
              <w:t>料、混合、</w:t>
            </w:r>
            <w:r>
              <w:rPr>
                <w:spacing w:val="-51"/>
              </w:rPr>
              <w:t xml:space="preserve"> </w:t>
            </w:r>
            <w:r>
              <w:rPr>
                <w:spacing w:val="3"/>
              </w:rPr>
              <w:t>内包装区</w:t>
            </w:r>
          </w:p>
        </w:tc>
        <w:tc>
          <w:tcPr>
            <w:tcW w:w="1706" w:type="dxa"/>
            <w:vAlign w:val="top"/>
          </w:tcPr>
          <w:p>
            <w:pPr>
              <w:spacing w:before="274" w:line="199"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pPr>
        <w:rPr>
          <w:rFonts w:ascii="Arial"/>
          <w:sz w:val="21"/>
        </w:rPr>
      </w:pPr>
    </w:p>
    <w:p>
      <w:pPr>
        <w:rPr>
          <w:rFonts w:ascii="Arial" w:hAnsi="Arial" w:eastAsia="Arial" w:cs="Arial"/>
          <w:sz w:val="21"/>
          <w:szCs w:val="21"/>
        </w:rPr>
        <w:sectPr>
          <w:footerReference r:id="rId10" w:type="default"/>
          <w:pgSz w:w="12240" w:h="15840"/>
          <w:pgMar w:top="1346" w:right="1800" w:bottom="897" w:left="1812" w:header="0" w:footer="723" w:gutter="0"/>
          <w:cols w:space="720" w:num="1"/>
        </w:sectPr>
      </w:pPr>
    </w:p>
    <w:p>
      <w:pPr>
        <w:spacing w:line="93" w:lineRule="exact"/>
      </w:pPr>
    </w:p>
    <w:tbl>
      <w:tblPr>
        <w:tblStyle w:val="5"/>
        <w:tblW w:w="8447"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9"/>
        <w:gridCol w:w="2081"/>
        <w:gridCol w:w="2341"/>
        <w:gridCol w:w="1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319" w:type="dxa"/>
            <w:vAlign w:val="top"/>
          </w:tcPr>
          <w:p>
            <w:pPr>
              <w:pStyle w:val="6"/>
              <w:spacing w:before="81" w:line="226" w:lineRule="auto"/>
              <w:ind w:left="166"/>
            </w:pPr>
            <w:r>
              <w:rPr>
                <w:spacing w:val="6"/>
              </w:rPr>
              <w:t>品添加剂和食品用香</w:t>
            </w:r>
          </w:p>
          <w:p>
            <w:pPr>
              <w:pStyle w:val="6"/>
              <w:spacing w:before="76" w:line="217" w:lineRule="auto"/>
              <w:ind w:left="839"/>
              <w:rPr>
                <w:rFonts w:ascii="Times New Roman" w:hAnsi="Times New Roman" w:eastAsia="Times New Roman" w:cs="Times New Roman"/>
              </w:rPr>
            </w:pPr>
            <w:r>
              <w:rPr>
                <w:spacing w:val="5"/>
              </w:rPr>
              <w:t>精等</w:t>
            </w:r>
            <w:r>
              <w:rPr>
                <w:rFonts w:ascii="Times New Roman" w:hAnsi="Times New Roman" w:eastAsia="Times New Roman" w:cs="Times New Roman"/>
                <w:spacing w:val="5"/>
              </w:rPr>
              <w:t>)</w:t>
            </w:r>
          </w:p>
        </w:tc>
        <w:tc>
          <w:tcPr>
            <w:tcW w:w="2081" w:type="dxa"/>
            <w:vAlign w:val="top"/>
          </w:tcPr>
          <w:p>
            <w:pPr>
              <w:pStyle w:val="6"/>
              <w:spacing w:before="81" w:line="227" w:lineRule="auto"/>
              <w:ind w:left="785"/>
            </w:pPr>
            <w:r>
              <w:rPr>
                <w:spacing w:val="-10"/>
              </w:rPr>
              <w:t>区域</w:t>
            </w:r>
          </w:p>
        </w:tc>
        <w:tc>
          <w:tcPr>
            <w:tcW w:w="2341" w:type="dxa"/>
            <w:vAlign w:val="top"/>
          </w:tcPr>
          <w:p>
            <w:pPr>
              <w:pStyle w:val="6"/>
              <w:spacing w:before="81" w:line="227" w:lineRule="auto"/>
              <w:ind w:left="885"/>
            </w:pPr>
            <w:r>
              <w:rPr>
                <w:spacing w:val="4"/>
              </w:rPr>
              <w:t>域等</w:t>
            </w: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8447" w:type="dxa"/>
            <w:gridSpan w:val="4"/>
            <w:vAlign w:val="top"/>
          </w:tcPr>
          <w:p>
            <w:pPr>
              <w:pStyle w:val="6"/>
              <w:spacing w:before="77" w:line="282" w:lineRule="auto"/>
              <w:ind w:left="123" w:right="267" w:firstLine="417"/>
            </w:pPr>
            <w:r>
              <w:rPr>
                <w:spacing w:val="9"/>
              </w:rPr>
              <w:t>注</w:t>
            </w:r>
            <w:r>
              <w:rPr>
                <w:rFonts w:ascii="Times New Roman" w:hAnsi="Times New Roman" w:eastAsia="Times New Roman" w:cs="Times New Roman"/>
                <w:spacing w:val="9"/>
              </w:rPr>
              <w:t>1</w:t>
            </w:r>
            <w:r>
              <w:rPr>
                <w:spacing w:val="9"/>
              </w:rPr>
              <w:t>：本表所列加工区域为常规生产场所分区，企业可根据产品特点及工艺设置、优</w:t>
            </w:r>
            <w:r>
              <w:t xml:space="preserve"> </w:t>
            </w:r>
            <w:r>
              <w:rPr>
                <w:spacing w:val="4"/>
              </w:rPr>
              <w:t>化、调整。</w:t>
            </w:r>
          </w:p>
          <w:p>
            <w:pPr>
              <w:pStyle w:val="6"/>
              <w:spacing w:before="30" w:line="224" w:lineRule="auto"/>
              <w:ind w:left="541"/>
            </w:pPr>
            <w:r>
              <w:rPr>
                <w:spacing w:val="8"/>
              </w:rPr>
              <w:t>注</w:t>
            </w:r>
            <w:r>
              <w:rPr>
                <w:rFonts w:ascii="Times New Roman" w:hAnsi="Times New Roman" w:eastAsia="Times New Roman" w:cs="Times New Roman"/>
                <w:spacing w:val="8"/>
              </w:rPr>
              <w:t>2</w:t>
            </w:r>
            <w:r>
              <w:rPr>
                <w:spacing w:val="8"/>
              </w:rPr>
              <w:t>：本表所列生产形式可以以多种形式组合。</w:t>
            </w:r>
          </w:p>
          <w:p>
            <w:pPr>
              <w:pStyle w:val="6"/>
              <w:spacing w:before="76" w:line="219" w:lineRule="auto"/>
              <w:ind w:left="533"/>
            </w:pPr>
            <w:r>
              <w:rPr>
                <w:rFonts w:ascii="Times New Roman" w:hAnsi="Times New Roman" w:eastAsia="Times New Roman" w:cs="Times New Roman"/>
                <w:spacing w:val="9"/>
                <w:position w:val="6"/>
                <w:sz w:val="13"/>
                <w:szCs w:val="13"/>
              </w:rPr>
              <w:t>a</w:t>
            </w:r>
            <w:r>
              <w:rPr>
                <w:spacing w:val="9"/>
                <w:position w:val="10"/>
                <w:sz w:val="10"/>
                <w:szCs w:val="10"/>
              </w:rPr>
              <w:t>、</w:t>
            </w:r>
            <w:r>
              <w:rPr>
                <w:rFonts w:ascii="Times New Roman" w:hAnsi="Times New Roman" w:eastAsia="Times New Roman" w:cs="Times New Roman"/>
                <w:spacing w:val="9"/>
                <w:position w:val="7"/>
                <w:sz w:val="13"/>
                <w:szCs w:val="13"/>
              </w:rPr>
              <w:t>b</w:t>
            </w:r>
            <w:r>
              <w:rPr>
                <w:spacing w:val="9"/>
                <w:position w:val="7"/>
                <w:sz w:val="10"/>
                <w:szCs w:val="10"/>
              </w:rPr>
              <w:t>、</w:t>
            </w:r>
            <w:r>
              <w:rPr>
                <w:rFonts w:ascii="Times New Roman" w:hAnsi="Times New Roman" w:eastAsia="Times New Roman" w:cs="Times New Roman"/>
                <w:spacing w:val="9"/>
                <w:sz w:val="13"/>
                <w:szCs w:val="13"/>
              </w:rPr>
              <w:t>c</w:t>
            </w:r>
            <w:r>
              <w:rPr>
                <w:spacing w:val="9"/>
              </w:rPr>
              <w:t>如为全封闭管道式生产，企业可根据产品特点、工艺特</w:t>
            </w:r>
            <w:r>
              <w:rPr>
                <w:spacing w:val="8"/>
              </w:rPr>
              <w:t>殊性，合理划分作业区。</w:t>
            </w:r>
          </w:p>
        </w:tc>
      </w:tr>
    </w:tbl>
    <w:p>
      <w:pPr>
        <w:pStyle w:val="2"/>
        <w:spacing w:before="228" w:line="336" w:lineRule="auto"/>
        <w:ind w:left="9" w:right="2" w:firstLine="630"/>
      </w:pPr>
      <w:r>
        <w:rPr>
          <w:rFonts w:ascii="黑体" w:hAnsi="黑体" w:eastAsia="黑体" w:cs="黑体"/>
          <w:spacing w:val="9"/>
        </w:rPr>
        <w:t xml:space="preserve">第十五条  </w:t>
      </w:r>
      <w:r>
        <w:rPr>
          <w:spacing w:val="9"/>
        </w:rPr>
        <w:t>可能产生有害气体、粉尘、污水和废渣等</w:t>
      </w:r>
      <w:r>
        <w:rPr>
          <w:spacing w:val="8"/>
        </w:rPr>
        <w:t>污染</w:t>
      </w:r>
      <w:r>
        <w:t xml:space="preserve"> </w:t>
      </w:r>
      <w:r>
        <w:rPr>
          <w:spacing w:val="8"/>
        </w:rPr>
        <w:t>源的生产场所应当单独设置，并采取相应防护措施。</w:t>
      </w:r>
    </w:p>
    <w:p>
      <w:pPr>
        <w:pStyle w:val="2"/>
        <w:spacing w:before="57" w:line="337" w:lineRule="auto"/>
        <w:ind w:right="2" w:firstLine="640"/>
      </w:pPr>
      <w:r>
        <w:rPr>
          <w:rFonts w:ascii="黑体" w:hAnsi="黑体" w:eastAsia="黑体" w:cs="黑体"/>
          <w:spacing w:val="9"/>
        </w:rPr>
        <w:t xml:space="preserve">第十六条  </w:t>
      </w:r>
      <w:r>
        <w:rPr>
          <w:spacing w:val="9"/>
        </w:rPr>
        <w:t>使用敞开式车间的，应当对敞开式车间物</w:t>
      </w:r>
      <w:r>
        <w:rPr>
          <w:spacing w:val="8"/>
        </w:rPr>
        <w:t>料添</w:t>
      </w:r>
      <w:r>
        <w:t xml:space="preserve"> </w:t>
      </w:r>
      <w:r>
        <w:rPr>
          <w:spacing w:val="9"/>
        </w:rPr>
        <w:t>加口和产品灌装处做好安全防护，确保无食品安全风险。</w:t>
      </w:r>
    </w:p>
    <w:p>
      <w:pPr>
        <w:pStyle w:val="2"/>
        <w:spacing w:before="55" w:line="349" w:lineRule="auto"/>
        <w:ind w:firstLine="640"/>
      </w:pPr>
      <w:r>
        <w:rPr>
          <w:rFonts w:ascii="黑体" w:hAnsi="黑体" w:eastAsia="黑体" w:cs="黑体"/>
          <w:spacing w:val="6"/>
        </w:rPr>
        <w:t xml:space="preserve">第十七条  </w:t>
      </w:r>
      <w:r>
        <w:rPr>
          <w:spacing w:val="6"/>
        </w:rPr>
        <w:t>地面、墙面、</w:t>
      </w:r>
      <w:r>
        <w:rPr>
          <w:spacing w:val="-79"/>
        </w:rPr>
        <w:t xml:space="preserve"> </w:t>
      </w:r>
      <w:r>
        <w:rPr>
          <w:spacing w:val="6"/>
        </w:rPr>
        <w:t>门窗、顶棚等应当易于维护、清</w:t>
      </w:r>
      <w:r>
        <w:t xml:space="preserve"> </w:t>
      </w:r>
      <w:r>
        <w:rPr>
          <w:spacing w:val="9"/>
        </w:rPr>
        <w:t>洁或消毒。应当采用适当的耐用材料建造。清洁作业区和准清</w:t>
      </w:r>
      <w:r>
        <w:rPr>
          <w:spacing w:val="13"/>
        </w:rPr>
        <w:t xml:space="preserve"> </w:t>
      </w:r>
      <w:r>
        <w:rPr>
          <w:spacing w:val="9"/>
        </w:rPr>
        <w:t>洁作业区还应当根据产品特点符合相应的卫生要求。酶制剂、</w:t>
      </w:r>
      <w:r>
        <w:rPr>
          <w:spacing w:val="13"/>
        </w:rPr>
        <w:t xml:space="preserve"> </w:t>
      </w:r>
      <w:r>
        <w:rPr>
          <w:spacing w:val="9"/>
        </w:rPr>
        <w:t>复配食品添加剂、食品用香精及有微生物指标要求的其他食品</w:t>
      </w:r>
      <w:r>
        <w:rPr>
          <w:spacing w:val="10"/>
        </w:rPr>
        <w:t xml:space="preserve"> </w:t>
      </w:r>
      <w:r>
        <w:rPr>
          <w:spacing w:val="7"/>
        </w:rPr>
        <w:t>添加剂生产车间的地面、墙面、</w:t>
      </w:r>
      <w:r>
        <w:rPr>
          <w:spacing w:val="-88"/>
        </w:rPr>
        <w:t xml:space="preserve"> </w:t>
      </w:r>
      <w:r>
        <w:rPr>
          <w:spacing w:val="7"/>
        </w:rPr>
        <w:t>门窗、顶棚要求应当符合食品</w:t>
      </w:r>
      <w:r>
        <w:t xml:space="preserve"> </w:t>
      </w:r>
      <w:r>
        <w:rPr>
          <w:spacing w:val="8"/>
        </w:rPr>
        <w:t>加工企业生产场所的相关卫生要求。</w:t>
      </w:r>
    </w:p>
    <w:p>
      <w:pPr>
        <w:pStyle w:val="2"/>
        <w:spacing w:before="49" w:line="336" w:lineRule="auto"/>
        <w:ind w:left="27" w:right="2" w:firstLine="613"/>
      </w:pPr>
      <w:r>
        <w:rPr>
          <w:rFonts w:ascii="黑体" w:hAnsi="黑体" w:eastAsia="黑体" w:cs="黑体"/>
          <w:spacing w:val="9"/>
        </w:rPr>
        <w:t xml:space="preserve">第十八条  </w:t>
      </w:r>
      <w:r>
        <w:rPr>
          <w:spacing w:val="9"/>
        </w:rPr>
        <w:t>原料库、成品库应当分开设置，应当满足</w:t>
      </w:r>
      <w:r>
        <w:rPr>
          <w:spacing w:val="8"/>
        </w:rPr>
        <w:t>相应</w:t>
      </w:r>
      <w:r>
        <w:t xml:space="preserve"> </w:t>
      </w:r>
      <w:r>
        <w:rPr>
          <w:spacing w:val="5"/>
        </w:rPr>
        <w:t>的温度、湿度等贮存要求。</w:t>
      </w:r>
    </w:p>
    <w:p>
      <w:pPr>
        <w:spacing w:before="175" w:line="227" w:lineRule="auto"/>
        <w:ind w:left="3120"/>
        <w:outlineLvl w:val="1"/>
        <w:rPr>
          <w:rFonts w:ascii="黑体" w:hAnsi="黑体" w:eastAsia="黑体" w:cs="黑体"/>
          <w:sz w:val="31"/>
          <w:szCs w:val="31"/>
        </w:rPr>
      </w:pPr>
      <w:r>
        <w:rPr>
          <w:rFonts w:ascii="黑体" w:hAnsi="黑体" w:eastAsia="黑体" w:cs="黑体"/>
          <w:spacing w:val="7"/>
          <w:sz w:val="31"/>
          <w:szCs w:val="31"/>
        </w:rPr>
        <w:t>第三章 设备设施</w:t>
      </w:r>
    </w:p>
    <w:p>
      <w:pPr>
        <w:spacing w:line="272" w:lineRule="auto"/>
        <w:rPr>
          <w:rFonts w:ascii="Arial"/>
          <w:sz w:val="21"/>
        </w:rPr>
      </w:pPr>
    </w:p>
    <w:p>
      <w:pPr>
        <w:pStyle w:val="2"/>
        <w:spacing w:before="102" w:line="347" w:lineRule="auto"/>
        <w:ind w:firstLine="640"/>
        <w:jc w:val="both"/>
      </w:pPr>
      <w:r>
        <w:rPr>
          <w:rFonts w:ascii="黑体" w:hAnsi="黑体" w:eastAsia="黑体" w:cs="黑体"/>
          <w:spacing w:val="9"/>
        </w:rPr>
        <w:t xml:space="preserve">第十九条  </w:t>
      </w:r>
      <w:r>
        <w:rPr>
          <w:spacing w:val="9"/>
        </w:rPr>
        <w:t>企业应当具有与生产产品品种、数量相适</w:t>
      </w:r>
      <w:r>
        <w:rPr>
          <w:spacing w:val="8"/>
        </w:rPr>
        <w:t>应的</w:t>
      </w:r>
      <w:r>
        <w:t xml:space="preserve"> </w:t>
      </w:r>
      <w:r>
        <w:rPr>
          <w:spacing w:val="9"/>
        </w:rPr>
        <w:t>生产设备设施。设备设施的性能和精度应当满足生产加工的要</w:t>
      </w:r>
      <w:r>
        <w:rPr>
          <w:spacing w:val="13"/>
        </w:rPr>
        <w:t xml:space="preserve"> </w:t>
      </w:r>
      <w:r>
        <w:rPr>
          <w:spacing w:val="9"/>
        </w:rPr>
        <w:t>求，设备设施应当便于操作、清洁、维护。食品添加剂常规生</w:t>
      </w:r>
      <w:r>
        <w:rPr>
          <w:spacing w:val="13"/>
        </w:rPr>
        <w:t xml:space="preserve"> </w:t>
      </w:r>
      <w:r>
        <w:rPr>
          <w:spacing w:val="6"/>
        </w:rPr>
        <w:t>产设备设施见表</w:t>
      </w:r>
      <w:r>
        <w:rPr>
          <w:spacing w:val="-67"/>
        </w:rPr>
        <w:t xml:space="preserve"> </w:t>
      </w:r>
      <w:r>
        <w:rPr>
          <w:rFonts w:ascii="Times New Roman" w:hAnsi="Times New Roman" w:eastAsia="Times New Roman" w:cs="Times New Roman"/>
          <w:spacing w:val="6"/>
        </w:rPr>
        <w:t>2</w:t>
      </w:r>
      <w:r>
        <w:rPr>
          <w:spacing w:val="6"/>
        </w:rPr>
        <w:t>。</w:t>
      </w:r>
    </w:p>
    <w:p>
      <w:pPr>
        <w:spacing w:before="27" w:line="222" w:lineRule="auto"/>
        <w:ind w:left="2508"/>
        <w:rPr>
          <w:rFonts w:ascii="黑体" w:hAnsi="黑体" w:eastAsia="黑体" w:cs="黑体"/>
          <w:sz w:val="28"/>
          <w:szCs w:val="28"/>
        </w:rPr>
      </w:pPr>
      <w:r>
        <w:rPr>
          <w:rFonts w:ascii="黑体" w:hAnsi="黑体" w:eastAsia="黑体" w:cs="黑体"/>
          <w:spacing w:val="-2"/>
          <w:sz w:val="28"/>
          <w:szCs w:val="28"/>
        </w:rPr>
        <w:t>表</w:t>
      </w:r>
      <w:r>
        <w:rPr>
          <w:rFonts w:ascii="黑体" w:hAnsi="黑体" w:eastAsia="黑体" w:cs="黑体"/>
          <w:spacing w:val="-53"/>
          <w:sz w:val="28"/>
          <w:szCs w:val="28"/>
        </w:rPr>
        <w:t xml:space="preserve"> </w:t>
      </w:r>
      <w:r>
        <w:rPr>
          <w:rFonts w:ascii="Times New Roman" w:hAnsi="Times New Roman" w:eastAsia="Times New Roman" w:cs="Times New Roman"/>
          <w:spacing w:val="-2"/>
          <w:sz w:val="28"/>
          <w:szCs w:val="28"/>
        </w:rPr>
        <w:t xml:space="preserve">2  </w:t>
      </w:r>
      <w:r>
        <w:rPr>
          <w:rFonts w:ascii="黑体" w:hAnsi="黑体" w:eastAsia="黑体" w:cs="黑体"/>
          <w:spacing w:val="-2"/>
          <w:sz w:val="28"/>
          <w:szCs w:val="28"/>
        </w:rPr>
        <w:t>食品添加剂常规生产设备设施</w:t>
      </w:r>
    </w:p>
    <w:p>
      <w:pPr>
        <w:spacing w:line="222" w:lineRule="auto"/>
        <w:rPr>
          <w:rFonts w:ascii="黑体" w:hAnsi="黑体" w:eastAsia="黑体" w:cs="黑体"/>
          <w:sz w:val="28"/>
          <w:szCs w:val="28"/>
        </w:rPr>
        <w:sectPr>
          <w:footerReference r:id="rId11" w:type="default"/>
          <w:pgSz w:w="12240" w:h="15840"/>
          <w:pgMar w:top="1346" w:right="1800" w:bottom="895" w:left="1812" w:header="0" w:footer="724" w:gutter="0"/>
          <w:cols w:space="720" w:num="1"/>
        </w:sectPr>
      </w:pPr>
    </w:p>
    <w:p>
      <w:pPr>
        <w:spacing w:line="93" w:lineRule="exact"/>
      </w:pPr>
    </w:p>
    <w:tbl>
      <w:tblPr>
        <w:tblStyle w:val="5"/>
        <w:tblW w:w="7979"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3"/>
        <w:gridCol w:w="5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493" w:type="dxa"/>
            <w:vAlign w:val="top"/>
          </w:tcPr>
          <w:p>
            <w:pPr>
              <w:spacing w:before="83" w:line="209" w:lineRule="auto"/>
              <w:ind w:left="694"/>
              <w:rPr>
                <w:rFonts w:ascii="黑体" w:hAnsi="黑体" w:eastAsia="黑体" w:cs="黑体"/>
                <w:sz w:val="28"/>
                <w:szCs w:val="28"/>
              </w:rPr>
            </w:pPr>
            <w:r>
              <w:rPr>
                <w:rFonts w:ascii="黑体" w:hAnsi="黑体" w:eastAsia="黑体" w:cs="黑体"/>
                <w:spacing w:val="-2"/>
                <w:sz w:val="28"/>
                <w:szCs w:val="28"/>
              </w:rPr>
              <w:t>生产形式</w:t>
            </w:r>
          </w:p>
        </w:tc>
        <w:tc>
          <w:tcPr>
            <w:tcW w:w="5486" w:type="dxa"/>
            <w:vAlign w:val="top"/>
          </w:tcPr>
          <w:p>
            <w:pPr>
              <w:spacing w:before="83" w:line="209" w:lineRule="auto"/>
              <w:ind w:left="1641"/>
              <w:rPr>
                <w:rFonts w:ascii="黑体" w:hAnsi="黑体" w:eastAsia="黑体" w:cs="黑体"/>
                <w:sz w:val="28"/>
                <w:szCs w:val="28"/>
              </w:rPr>
            </w:pPr>
            <w:r>
              <w:rPr>
                <w:rFonts w:ascii="黑体" w:hAnsi="黑体" w:eastAsia="黑体" w:cs="黑体"/>
                <w:spacing w:val="-3"/>
                <w:sz w:val="28"/>
                <w:szCs w:val="28"/>
              </w:rPr>
              <w:t>常规生产设备设施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493" w:type="dxa"/>
            <w:vAlign w:val="top"/>
          </w:tcPr>
          <w:p>
            <w:pPr>
              <w:pStyle w:val="6"/>
              <w:spacing w:before="305" w:line="225" w:lineRule="auto"/>
              <w:ind w:left="542"/>
            </w:pPr>
            <w:r>
              <w:rPr>
                <w:spacing w:val="6"/>
              </w:rPr>
              <w:t>化学法（合成）</w:t>
            </w:r>
          </w:p>
        </w:tc>
        <w:tc>
          <w:tcPr>
            <w:tcW w:w="5486" w:type="dxa"/>
            <w:vAlign w:val="top"/>
          </w:tcPr>
          <w:p>
            <w:pPr>
              <w:pStyle w:val="6"/>
              <w:spacing w:before="30"/>
              <w:ind w:left="115" w:right="107" w:firstLine="423"/>
            </w:pPr>
            <w:r>
              <w:rPr>
                <w:spacing w:val="10"/>
              </w:rPr>
              <w:t>前处理设备设施、反应设备、分离设备、筛分设备、</w:t>
            </w:r>
            <w:r>
              <w:rPr>
                <w:spacing w:val="3"/>
              </w:rPr>
              <w:t xml:space="preserve"> </w:t>
            </w:r>
            <w:r>
              <w:rPr>
                <w:spacing w:val="10"/>
              </w:rPr>
              <w:t>干燥设备、计量设备、包装设备、充装设备、异物检测设</w:t>
            </w:r>
            <w:r>
              <w:rPr>
                <w:spacing w:val="6"/>
              </w:rPr>
              <w:t xml:space="preserve"> </w:t>
            </w:r>
            <w:r>
              <w:rPr>
                <w:spacing w:val="2"/>
              </w:rPr>
              <w:t>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93" w:type="dxa"/>
            <w:vAlign w:val="top"/>
          </w:tcPr>
          <w:p>
            <w:pPr>
              <w:pStyle w:val="6"/>
              <w:spacing w:before="167" w:line="225" w:lineRule="auto"/>
              <w:ind w:left="542"/>
            </w:pPr>
            <w:r>
              <w:rPr>
                <w:spacing w:val="6"/>
              </w:rPr>
              <w:t>化学法（分离）</w:t>
            </w:r>
          </w:p>
        </w:tc>
        <w:tc>
          <w:tcPr>
            <w:tcW w:w="5486" w:type="dxa"/>
            <w:vAlign w:val="top"/>
          </w:tcPr>
          <w:p>
            <w:pPr>
              <w:pStyle w:val="6"/>
              <w:spacing w:before="32" w:line="234" w:lineRule="auto"/>
              <w:ind w:left="118" w:right="150" w:firstLine="420"/>
            </w:pPr>
            <w:r>
              <w:rPr>
                <w:spacing w:val="8"/>
              </w:rPr>
              <w:t>前处理设备设施、分离设备、筛分设备、干燥设备、</w:t>
            </w:r>
            <w:r>
              <w:rPr>
                <w:spacing w:val="6"/>
              </w:rPr>
              <w:t xml:space="preserve"> </w:t>
            </w:r>
            <w:r>
              <w:rPr>
                <w:spacing w:val="8"/>
              </w:rPr>
              <w:t>计量设备、包装设备、异物检测设备等。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493" w:type="dxa"/>
            <w:vAlign w:val="top"/>
          </w:tcPr>
          <w:p>
            <w:pPr>
              <w:pStyle w:val="6"/>
              <w:spacing w:before="303" w:line="224" w:lineRule="auto"/>
              <w:ind w:left="313"/>
            </w:pPr>
            <w:r>
              <w:rPr>
                <w:spacing w:val="7"/>
              </w:rPr>
              <w:t>物理分离法（气体）</w:t>
            </w:r>
          </w:p>
        </w:tc>
        <w:tc>
          <w:tcPr>
            <w:tcW w:w="5486" w:type="dxa"/>
            <w:vAlign w:val="top"/>
          </w:tcPr>
          <w:p>
            <w:pPr>
              <w:pStyle w:val="6"/>
              <w:spacing w:before="30"/>
              <w:ind w:left="115" w:right="107" w:firstLine="417"/>
              <w:jc w:val="both"/>
            </w:pPr>
            <w:r>
              <w:rPr>
                <w:spacing w:val="10"/>
              </w:rPr>
              <w:t>加压设备、干燥设备、液化设备、精馏设备、纯化设</w:t>
            </w:r>
            <w:r>
              <w:rPr>
                <w:spacing w:val="8"/>
              </w:rPr>
              <w:t xml:space="preserve"> </w:t>
            </w:r>
            <w:r>
              <w:rPr>
                <w:spacing w:val="10"/>
              </w:rPr>
              <w:t>备、压力储罐（或压力槽车）、计量设备、充装设备、异</w:t>
            </w:r>
            <w:r>
              <w:rPr>
                <w:spacing w:val="6"/>
              </w:rPr>
              <w:t xml:space="preserve"> 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93" w:type="dxa"/>
            <w:vAlign w:val="top"/>
          </w:tcPr>
          <w:p>
            <w:pPr>
              <w:pStyle w:val="6"/>
              <w:spacing w:before="32" w:line="234" w:lineRule="auto"/>
              <w:ind w:left="113" w:right="108" w:firstLine="433"/>
            </w:pPr>
            <w:r>
              <w:rPr>
                <w:spacing w:val="13"/>
              </w:rPr>
              <w:t>动植</w:t>
            </w:r>
            <w:r>
              <w:rPr>
                <w:spacing w:val="-60"/>
              </w:rPr>
              <w:t xml:space="preserve"> </w:t>
            </w:r>
            <w:r>
              <w:rPr>
                <w:spacing w:val="13"/>
              </w:rPr>
              <w:t>物</w:t>
            </w:r>
            <w:r>
              <w:rPr>
                <w:spacing w:val="-56"/>
              </w:rPr>
              <w:t xml:space="preserve"> </w:t>
            </w:r>
            <w:r>
              <w:rPr>
                <w:spacing w:val="13"/>
              </w:rPr>
              <w:t>等天</w:t>
            </w:r>
            <w:r>
              <w:rPr>
                <w:spacing w:val="-56"/>
              </w:rPr>
              <w:t xml:space="preserve"> </w:t>
            </w:r>
            <w:r>
              <w:rPr>
                <w:spacing w:val="13"/>
              </w:rPr>
              <w:t>然原料</w:t>
            </w:r>
            <w:r>
              <w:t xml:space="preserve"> </w:t>
            </w:r>
            <w:r>
              <w:rPr>
                <w:spacing w:val="8"/>
              </w:rPr>
              <w:t>提取法（压榨法）</w:t>
            </w:r>
          </w:p>
        </w:tc>
        <w:tc>
          <w:tcPr>
            <w:tcW w:w="5486" w:type="dxa"/>
            <w:vAlign w:val="top"/>
          </w:tcPr>
          <w:p>
            <w:pPr>
              <w:pStyle w:val="6"/>
              <w:spacing w:before="32" w:line="234" w:lineRule="auto"/>
              <w:ind w:left="122" w:right="150" w:firstLine="416"/>
            </w:pPr>
            <w:r>
              <w:rPr>
                <w:spacing w:val="8"/>
              </w:rPr>
              <w:t>前处理设备设施、压榨设备、分离设备、杀菌设备、</w:t>
            </w:r>
            <w:r>
              <w:rPr>
                <w:spacing w:val="6"/>
              </w:rPr>
              <w:t xml:space="preserve"> </w:t>
            </w:r>
            <w:r>
              <w:rPr>
                <w:spacing w:val="8"/>
              </w:rPr>
              <w:t>干燥设备、计量设备、包装设备、异物检测设备等。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93" w:type="dxa"/>
            <w:vAlign w:val="top"/>
          </w:tcPr>
          <w:p>
            <w:pPr>
              <w:pStyle w:val="6"/>
              <w:spacing w:before="35" w:line="233" w:lineRule="auto"/>
              <w:ind w:left="113" w:right="108" w:firstLine="433"/>
            </w:pPr>
            <w:r>
              <w:rPr>
                <w:spacing w:val="13"/>
              </w:rPr>
              <w:t>动植</w:t>
            </w:r>
            <w:r>
              <w:rPr>
                <w:spacing w:val="-60"/>
              </w:rPr>
              <w:t xml:space="preserve"> </w:t>
            </w:r>
            <w:r>
              <w:rPr>
                <w:spacing w:val="13"/>
              </w:rPr>
              <w:t>物</w:t>
            </w:r>
            <w:r>
              <w:rPr>
                <w:spacing w:val="-56"/>
              </w:rPr>
              <w:t xml:space="preserve"> </w:t>
            </w:r>
            <w:r>
              <w:rPr>
                <w:spacing w:val="13"/>
              </w:rPr>
              <w:t>等天</w:t>
            </w:r>
            <w:r>
              <w:rPr>
                <w:spacing w:val="-56"/>
              </w:rPr>
              <w:t xml:space="preserve"> </w:t>
            </w:r>
            <w:r>
              <w:rPr>
                <w:spacing w:val="13"/>
              </w:rPr>
              <w:t>然原料</w:t>
            </w:r>
            <w:r>
              <w:t xml:space="preserve"> </w:t>
            </w:r>
            <w:r>
              <w:rPr>
                <w:spacing w:val="8"/>
              </w:rPr>
              <w:t>提取法（蒸馏法）</w:t>
            </w:r>
          </w:p>
        </w:tc>
        <w:tc>
          <w:tcPr>
            <w:tcW w:w="5486" w:type="dxa"/>
            <w:vAlign w:val="top"/>
          </w:tcPr>
          <w:p>
            <w:pPr>
              <w:pStyle w:val="6"/>
              <w:spacing w:before="35" w:line="233" w:lineRule="auto"/>
              <w:ind w:left="118" w:right="150" w:firstLine="420"/>
            </w:pPr>
            <w:r>
              <w:rPr>
                <w:spacing w:val="8"/>
              </w:rPr>
              <w:t>前处理设备设施、蒸馏设备、计量设备、包装设备、</w:t>
            </w:r>
            <w:r>
              <w:rPr>
                <w:spacing w:val="6"/>
              </w:rPr>
              <w:t xml:space="preserve"> 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93" w:type="dxa"/>
            <w:vAlign w:val="top"/>
          </w:tcPr>
          <w:p>
            <w:pPr>
              <w:pStyle w:val="6"/>
              <w:spacing w:before="35" w:line="233" w:lineRule="auto"/>
              <w:ind w:left="113" w:right="108" w:firstLine="433"/>
            </w:pPr>
            <w:r>
              <w:rPr>
                <w:spacing w:val="13"/>
              </w:rPr>
              <w:t>动植</w:t>
            </w:r>
            <w:r>
              <w:rPr>
                <w:spacing w:val="-60"/>
              </w:rPr>
              <w:t xml:space="preserve"> </w:t>
            </w:r>
            <w:r>
              <w:rPr>
                <w:spacing w:val="13"/>
              </w:rPr>
              <w:t>物</w:t>
            </w:r>
            <w:r>
              <w:rPr>
                <w:spacing w:val="-56"/>
              </w:rPr>
              <w:t xml:space="preserve"> </w:t>
            </w:r>
            <w:r>
              <w:rPr>
                <w:spacing w:val="13"/>
              </w:rPr>
              <w:t>等天</w:t>
            </w:r>
            <w:r>
              <w:rPr>
                <w:spacing w:val="-56"/>
              </w:rPr>
              <w:t xml:space="preserve"> </w:t>
            </w:r>
            <w:r>
              <w:rPr>
                <w:spacing w:val="13"/>
              </w:rPr>
              <w:t>然原料</w:t>
            </w:r>
            <w:r>
              <w:t xml:space="preserve"> </w:t>
            </w:r>
            <w:r>
              <w:rPr>
                <w:spacing w:val="8"/>
              </w:rPr>
              <w:t>提取法（粉碎法）</w:t>
            </w:r>
          </w:p>
        </w:tc>
        <w:tc>
          <w:tcPr>
            <w:tcW w:w="5486" w:type="dxa"/>
            <w:vAlign w:val="top"/>
          </w:tcPr>
          <w:p>
            <w:pPr>
              <w:pStyle w:val="6"/>
              <w:spacing w:before="35" w:line="233" w:lineRule="auto"/>
              <w:ind w:left="118" w:right="150" w:firstLine="420"/>
            </w:pPr>
            <w:r>
              <w:rPr>
                <w:spacing w:val="8"/>
              </w:rPr>
              <w:t>前处理设备设施、粉碎设备、筛分设备、干燥设备、</w:t>
            </w:r>
            <w:r>
              <w:rPr>
                <w:spacing w:val="6"/>
              </w:rPr>
              <w:t xml:space="preserve"> </w:t>
            </w:r>
            <w:r>
              <w:rPr>
                <w:spacing w:val="8"/>
              </w:rPr>
              <w:t>计量设备、包装设备、异物检测设备等。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493" w:type="dxa"/>
            <w:vAlign w:val="top"/>
          </w:tcPr>
          <w:p>
            <w:pPr>
              <w:pStyle w:val="6"/>
              <w:spacing w:before="79" w:line="238" w:lineRule="auto"/>
              <w:ind w:left="113" w:right="108" w:firstLine="433"/>
            </w:pPr>
            <w:r>
              <w:rPr>
                <w:spacing w:val="13"/>
              </w:rPr>
              <w:t>动植</w:t>
            </w:r>
            <w:r>
              <w:rPr>
                <w:spacing w:val="-60"/>
              </w:rPr>
              <w:t xml:space="preserve"> </w:t>
            </w:r>
            <w:r>
              <w:rPr>
                <w:spacing w:val="13"/>
              </w:rPr>
              <w:t>物</w:t>
            </w:r>
            <w:r>
              <w:rPr>
                <w:spacing w:val="-56"/>
              </w:rPr>
              <w:t xml:space="preserve"> </w:t>
            </w:r>
            <w:r>
              <w:rPr>
                <w:spacing w:val="13"/>
              </w:rPr>
              <w:t>等天</w:t>
            </w:r>
            <w:r>
              <w:rPr>
                <w:spacing w:val="-56"/>
              </w:rPr>
              <w:t xml:space="preserve"> </w:t>
            </w:r>
            <w:r>
              <w:rPr>
                <w:spacing w:val="13"/>
              </w:rPr>
              <w:t>然原料</w:t>
            </w:r>
            <w:r>
              <w:t xml:space="preserve"> </w:t>
            </w:r>
            <w:r>
              <w:rPr>
                <w:spacing w:val="8"/>
              </w:rPr>
              <w:t>提取法（提取法）</w:t>
            </w:r>
          </w:p>
        </w:tc>
        <w:tc>
          <w:tcPr>
            <w:tcW w:w="5486" w:type="dxa"/>
            <w:vAlign w:val="top"/>
          </w:tcPr>
          <w:p>
            <w:pPr>
              <w:pStyle w:val="6"/>
              <w:spacing w:before="33" w:line="237" w:lineRule="auto"/>
              <w:ind w:left="122" w:right="150" w:firstLine="416"/>
            </w:pPr>
            <w:r>
              <w:rPr>
                <w:spacing w:val="8"/>
              </w:rPr>
              <w:t>前处理设备设施、提取设备、分离设备、浓缩设备、</w:t>
            </w:r>
            <w:r>
              <w:rPr>
                <w:spacing w:val="6"/>
              </w:rPr>
              <w:t xml:space="preserve"> </w:t>
            </w:r>
            <w:r>
              <w:rPr>
                <w:spacing w:val="8"/>
              </w:rPr>
              <w:t>干燥设备、计量设备、包装设备、异物检测设备等。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493" w:type="dxa"/>
            <w:vAlign w:val="top"/>
          </w:tcPr>
          <w:p>
            <w:pPr>
              <w:pStyle w:val="6"/>
              <w:spacing w:before="168" w:line="241" w:lineRule="auto"/>
              <w:ind w:left="122" w:right="108" w:firstLine="425"/>
            </w:pPr>
            <w:r>
              <w:t>生</w:t>
            </w:r>
            <w:r>
              <w:rPr>
                <w:spacing w:val="-57"/>
              </w:rPr>
              <w:t xml:space="preserve"> </w:t>
            </w:r>
            <w:r>
              <w:t>物发</w:t>
            </w:r>
            <w:r>
              <w:rPr>
                <w:spacing w:val="-56"/>
              </w:rPr>
              <w:t xml:space="preserve"> </w:t>
            </w:r>
            <w:r>
              <w:t>酵法（ 发</w:t>
            </w:r>
            <w:r>
              <w:rPr>
                <w:spacing w:val="-57"/>
              </w:rPr>
              <w:t xml:space="preserve"> </w:t>
            </w:r>
            <w:r>
              <w:t xml:space="preserve">酵 </w:t>
            </w:r>
            <w:r>
              <w:rPr>
                <w:spacing w:val="10"/>
              </w:rPr>
              <w:t>法）</w:t>
            </w:r>
          </w:p>
        </w:tc>
        <w:tc>
          <w:tcPr>
            <w:tcW w:w="5486" w:type="dxa"/>
            <w:vAlign w:val="top"/>
          </w:tcPr>
          <w:p>
            <w:pPr>
              <w:pStyle w:val="6"/>
              <w:spacing w:before="34" w:line="239" w:lineRule="auto"/>
              <w:ind w:left="118" w:right="150" w:firstLine="420"/>
              <w:jc w:val="both"/>
            </w:pPr>
            <w:r>
              <w:rPr>
                <w:spacing w:val="8"/>
              </w:rPr>
              <w:t>前处理设备设施、发酵设备、杀菌设备、分离设备、</w:t>
            </w:r>
            <w:r>
              <w:rPr>
                <w:spacing w:val="6"/>
              </w:rPr>
              <w:t xml:space="preserve"> </w:t>
            </w:r>
            <w:r>
              <w:rPr>
                <w:spacing w:val="8"/>
              </w:rPr>
              <w:t>结晶设备、浓缩设备、干燥设备、计量设备、包装设备、</w:t>
            </w:r>
            <w:r>
              <w:rPr>
                <w:spacing w:val="10"/>
              </w:rPr>
              <w:t xml:space="preserve"> </w:t>
            </w:r>
            <w:r>
              <w:rPr>
                <w:spacing w:val="6"/>
              </w:rPr>
              <w:t>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493" w:type="dxa"/>
            <w:vAlign w:val="top"/>
          </w:tcPr>
          <w:p>
            <w:pPr>
              <w:rPr>
                <w:rFonts w:ascii="Arial"/>
                <w:sz w:val="21"/>
              </w:rPr>
            </w:pPr>
          </w:p>
          <w:p>
            <w:pPr>
              <w:pStyle w:val="6"/>
              <w:spacing w:before="65" w:line="224" w:lineRule="auto"/>
              <w:ind w:left="320"/>
            </w:pPr>
            <w:r>
              <w:rPr>
                <w:spacing w:val="7"/>
              </w:rPr>
              <w:t>生物发酵法（酶法）</w:t>
            </w:r>
          </w:p>
        </w:tc>
        <w:tc>
          <w:tcPr>
            <w:tcW w:w="5486" w:type="dxa"/>
            <w:vAlign w:val="top"/>
          </w:tcPr>
          <w:p>
            <w:pPr>
              <w:pStyle w:val="6"/>
              <w:spacing w:before="34" w:line="239" w:lineRule="auto"/>
              <w:ind w:left="118" w:right="150" w:firstLine="420"/>
              <w:jc w:val="both"/>
            </w:pPr>
            <w:r>
              <w:rPr>
                <w:spacing w:val="8"/>
              </w:rPr>
              <w:t>前处理设备设施、酶反应器、杀菌设备、分离设备、</w:t>
            </w:r>
            <w:r>
              <w:rPr>
                <w:spacing w:val="6"/>
              </w:rPr>
              <w:t xml:space="preserve"> </w:t>
            </w:r>
            <w:r>
              <w:rPr>
                <w:spacing w:val="8"/>
              </w:rPr>
              <w:t>结晶设备、浓缩设备、干燥设备、计量设备、包装设备、</w:t>
            </w:r>
            <w:r>
              <w:rPr>
                <w:spacing w:val="10"/>
              </w:rPr>
              <w:t xml:space="preserve"> </w:t>
            </w:r>
            <w:r>
              <w:rPr>
                <w:spacing w:val="6"/>
              </w:rPr>
              <w:t>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493" w:type="dxa"/>
            <w:vAlign w:val="top"/>
          </w:tcPr>
          <w:p>
            <w:pPr>
              <w:pStyle w:val="6"/>
              <w:spacing w:before="306" w:line="224" w:lineRule="auto"/>
              <w:ind w:left="733"/>
            </w:pPr>
            <w:r>
              <w:rPr>
                <w:spacing w:val="6"/>
              </w:rPr>
              <w:t>物理混合法</w:t>
            </w:r>
          </w:p>
        </w:tc>
        <w:tc>
          <w:tcPr>
            <w:tcW w:w="5486" w:type="dxa"/>
            <w:vAlign w:val="top"/>
          </w:tcPr>
          <w:p>
            <w:pPr>
              <w:pStyle w:val="6"/>
              <w:spacing w:before="34" w:line="239" w:lineRule="auto"/>
              <w:ind w:left="118" w:right="150" w:firstLine="419"/>
              <w:jc w:val="both"/>
            </w:pPr>
            <w:r>
              <w:rPr>
                <w:spacing w:val="8"/>
              </w:rPr>
              <w:t>计量设备、搅拌和混合设备、均质设备、过滤设备、</w:t>
            </w:r>
            <w:r>
              <w:rPr>
                <w:spacing w:val="6"/>
              </w:rPr>
              <w:t xml:space="preserve"> </w:t>
            </w:r>
            <w:r>
              <w:rPr>
                <w:spacing w:val="8"/>
              </w:rPr>
              <w:t>筛分设备、成型设备、杀菌设备、包装设备、磁选设备、</w:t>
            </w:r>
            <w:r>
              <w:rPr>
                <w:spacing w:val="10"/>
              </w:rPr>
              <w:t xml:space="preserve"> </w:t>
            </w:r>
            <w:r>
              <w:rPr>
                <w:spacing w:val="6"/>
              </w:rPr>
              <w:t>异物检测设备等。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7979" w:type="dxa"/>
            <w:gridSpan w:val="2"/>
            <w:vAlign w:val="top"/>
          </w:tcPr>
          <w:p>
            <w:pPr>
              <w:pStyle w:val="6"/>
              <w:spacing w:before="80" w:line="224" w:lineRule="auto"/>
              <w:ind w:left="540"/>
            </w:pPr>
            <w:r>
              <w:rPr>
                <w:spacing w:val="9"/>
              </w:rPr>
              <w:t>注</w:t>
            </w:r>
            <w:r>
              <w:rPr>
                <w:rFonts w:ascii="Times New Roman" w:hAnsi="Times New Roman" w:eastAsia="Times New Roman" w:cs="Times New Roman"/>
                <w:spacing w:val="9"/>
              </w:rPr>
              <w:t>1</w:t>
            </w:r>
            <w:r>
              <w:rPr>
                <w:spacing w:val="9"/>
              </w:rPr>
              <w:t>：本表所列设备设施为常规设备设施，企业可根据实际生产形式优化调整。</w:t>
            </w:r>
          </w:p>
          <w:p>
            <w:pPr>
              <w:pStyle w:val="6"/>
              <w:spacing w:before="79" w:line="279" w:lineRule="auto"/>
              <w:ind w:left="120" w:right="268" w:firstLine="420"/>
            </w:pPr>
            <w:r>
              <w:rPr>
                <w:spacing w:val="8"/>
              </w:rPr>
              <w:t>注</w:t>
            </w:r>
            <w:r>
              <w:rPr>
                <w:rFonts w:ascii="Times New Roman" w:hAnsi="Times New Roman" w:eastAsia="Times New Roman" w:cs="Times New Roman"/>
                <w:spacing w:val="8"/>
              </w:rPr>
              <w:t>2</w:t>
            </w:r>
            <w:r>
              <w:rPr>
                <w:spacing w:val="8"/>
              </w:rPr>
              <w:t>：具备多功能的综合性设备设施，只要</w:t>
            </w:r>
            <w:r>
              <w:rPr>
                <w:spacing w:val="7"/>
              </w:rPr>
              <w:t>满足加工工艺要求，可视为多台相关</w:t>
            </w:r>
            <w:r>
              <w:t xml:space="preserve"> </w:t>
            </w:r>
            <w:r>
              <w:rPr>
                <w:spacing w:val="4"/>
              </w:rPr>
              <w:t>功能设备。</w:t>
            </w:r>
          </w:p>
          <w:p>
            <w:pPr>
              <w:pStyle w:val="6"/>
              <w:spacing w:before="33" w:line="223" w:lineRule="auto"/>
              <w:ind w:left="540"/>
            </w:pPr>
            <w:r>
              <w:rPr>
                <w:spacing w:val="9"/>
              </w:rPr>
              <w:t>注</w:t>
            </w:r>
            <w:r>
              <w:rPr>
                <w:rFonts w:ascii="Times New Roman" w:hAnsi="Times New Roman" w:eastAsia="Times New Roman" w:cs="Times New Roman"/>
                <w:spacing w:val="9"/>
              </w:rPr>
              <w:t>3</w:t>
            </w:r>
            <w:r>
              <w:rPr>
                <w:spacing w:val="9"/>
              </w:rPr>
              <w:t>：分装企业应当具备贮存、计量、包装等常规生产设备设施。</w:t>
            </w:r>
          </w:p>
          <w:p>
            <w:pPr>
              <w:pStyle w:val="6"/>
              <w:spacing w:before="80" w:line="219" w:lineRule="auto"/>
              <w:ind w:left="540"/>
            </w:pPr>
            <w:r>
              <w:rPr>
                <w:spacing w:val="8"/>
              </w:rPr>
              <w:t>注</w:t>
            </w:r>
            <w:r>
              <w:rPr>
                <w:rFonts w:ascii="Times New Roman" w:hAnsi="Times New Roman" w:eastAsia="Times New Roman" w:cs="Times New Roman"/>
                <w:spacing w:val="8"/>
              </w:rPr>
              <w:t>4</w:t>
            </w:r>
            <w:r>
              <w:rPr>
                <w:spacing w:val="8"/>
              </w:rPr>
              <w:t>：本表所列生产形式可以以多种形式组合。</w:t>
            </w:r>
          </w:p>
        </w:tc>
      </w:tr>
    </w:tbl>
    <w:p>
      <w:pPr>
        <w:pStyle w:val="2"/>
        <w:spacing w:before="230" w:line="342" w:lineRule="auto"/>
        <w:ind w:firstLine="642"/>
        <w:jc w:val="both"/>
      </w:pPr>
      <w:r>
        <w:rPr>
          <w:rFonts w:ascii="黑体" w:hAnsi="黑体" w:eastAsia="黑体" w:cs="黑体"/>
          <w:spacing w:val="9"/>
        </w:rPr>
        <w:t xml:space="preserve">第二十条  </w:t>
      </w:r>
      <w:r>
        <w:rPr>
          <w:spacing w:val="9"/>
        </w:rPr>
        <w:t>用于监测、控制、记录的设备，如压力表</w:t>
      </w:r>
      <w:r>
        <w:rPr>
          <w:spacing w:val="8"/>
        </w:rPr>
        <w:t>、温</w:t>
      </w:r>
      <w:r>
        <w:t xml:space="preserve"> </w:t>
      </w:r>
      <w:r>
        <w:rPr>
          <w:spacing w:val="9"/>
        </w:rPr>
        <w:t>度计、记录仪等，应当定期检定或校准、维护保养。与设备连</w:t>
      </w:r>
      <w:r>
        <w:rPr>
          <w:spacing w:val="14"/>
        </w:rPr>
        <w:t xml:space="preserve"> </w:t>
      </w:r>
      <w:r>
        <w:rPr>
          <w:spacing w:val="8"/>
        </w:rPr>
        <w:t>接的主要固定管道，应当标明管内物料流向等。</w:t>
      </w:r>
    </w:p>
    <w:p>
      <w:pPr>
        <w:pStyle w:val="2"/>
        <w:spacing w:before="57" w:line="342" w:lineRule="auto"/>
        <w:ind w:left="8" w:firstLine="633"/>
        <w:jc w:val="both"/>
      </w:pPr>
      <w:r>
        <w:rPr>
          <w:rFonts w:ascii="黑体" w:hAnsi="黑体" w:eastAsia="黑体" w:cs="黑体"/>
          <w:spacing w:val="9"/>
        </w:rPr>
        <w:t xml:space="preserve">第二十一条  </w:t>
      </w:r>
      <w:r>
        <w:rPr>
          <w:spacing w:val="9"/>
        </w:rPr>
        <w:t>生产设备应当清洁卫生。直接接触原料、半</w:t>
      </w:r>
      <w:r>
        <w:rPr>
          <w:spacing w:val="1"/>
        </w:rPr>
        <w:t xml:space="preserve"> </w:t>
      </w:r>
      <w:r>
        <w:rPr>
          <w:spacing w:val="9"/>
        </w:rPr>
        <w:t>成品、成品的设备，工器具材质应当无毒、无味、抗腐蚀、不</w:t>
      </w:r>
      <w:r>
        <w:rPr>
          <w:spacing w:val="5"/>
        </w:rPr>
        <w:t xml:space="preserve"> </w:t>
      </w:r>
      <w:r>
        <w:rPr>
          <w:spacing w:val="9"/>
        </w:rPr>
        <w:t>易脱落。工器具表面光滑、无吸收性、易于清</w:t>
      </w:r>
      <w:r>
        <w:rPr>
          <w:spacing w:val="8"/>
        </w:rPr>
        <w:t>洁保养和消毒。</w:t>
      </w:r>
    </w:p>
    <w:p>
      <w:pPr>
        <w:spacing w:line="342" w:lineRule="auto"/>
        <w:sectPr>
          <w:footerReference r:id="rId12" w:type="default"/>
          <w:pgSz w:w="12240" w:h="15840"/>
          <w:pgMar w:top="1346" w:right="1800" w:bottom="897" w:left="1811" w:header="0" w:footer="723" w:gutter="0"/>
          <w:cols w:space="720" w:num="1"/>
        </w:sectPr>
      </w:pPr>
    </w:p>
    <w:p>
      <w:pPr>
        <w:pStyle w:val="2"/>
        <w:spacing w:before="325" w:line="345" w:lineRule="auto"/>
        <w:ind w:left="5" w:right="95" w:firstLine="639"/>
        <w:jc w:val="both"/>
      </w:pPr>
      <w:r>
        <w:rPr>
          <w:rFonts w:ascii="黑体" w:hAnsi="黑体" w:eastAsia="黑体" w:cs="黑体"/>
          <w:spacing w:val="9"/>
        </w:rPr>
        <w:t xml:space="preserve">第二十二条  </w:t>
      </w:r>
      <w:r>
        <w:rPr>
          <w:spacing w:val="9"/>
        </w:rPr>
        <w:t>应当根据产品特点及工艺要求，配备相应的</w:t>
      </w:r>
      <w:r>
        <w:t xml:space="preserve"> </w:t>
      </w:r>
      <w:r>
        <w:rPr>
          <w:spacing w:val="9"/>
        </w:rPr>
        <w:t>工器具和设备的专用清洁设施，必要时应当配备适宜的消毒设</w:t>
      </w:r>
      <w:r>
        <w:rPr>
          <w:spacing w:val="11"/>
        </w:rPr>
        <w:t xml:space="preserve"> </w:t>
      </w:r>
      <w:r>
        <w:rPr>
          <w:spacing w:val="9"/>
        </w:rPr>
        <w:t>施。清洁、消毒方式应当避免对产品造成交叉污染，使用的洗</w:t>
      </w:r>
      <w:r>
        <w:rPr>
          <w:spacing w:val="11"/>
        </w:rPr>
        <w:t xml:space="preserve"> </w:t>
      </w:r>
      <w:r>
        <w:rPr>
          <w:spacing w:val="8"/>
        </w:rPr>
        <w:t>涤剂、消毒剂应当符合相关规定要求。</w:t>
      </w:r>
    </w:p>
    <w:p>
      <w:pPr>
        <w:pStyle w:val="2"/>
        <w:spacing w:before="57" w:line="342" w:lineRule="auto"/>
        <w:ind w:left="16" w:right="95" w:firstLine="628"/>
        <w:jc w:val="both"/>
      </w:pPr>
      <w:r>
        <w:rPr>
          <w:rFonts w:ascii="黑体" w:hAnsi="黑体" w:eastAsia="黑体" w:cs="黑体"/>
          <w:spacing w:val="9"/>
        </w:rPr>
        <w:t xml:space="preserve">第二十三条  </w:t>
      </w:r>
      <w:r>
        <w:rPr>
          <w:spacing w:val="9"/>
        </w:rPr>
        <w:t>应当配备防止渗漏、易于清洁的存放废弃物</w:t>
      </w:r>
      <w:r>
        <w:rPr>
          <w:spacing w:val="1"/>
        </w:rPr>
        <w:t xml:space="preserve"> </w:t>
      </w:r>
      <w:r>
        <w:rPr>
          <w:spacing w:val="9"/>
        </w:rPr>
        <w:t>的专用设施。车间内存放废弃物的设施应当标识清晰，不得与</w:t>
      </w:r>
      <w:r>
        <w:t xml:space="preserve"> </w:t>
      </w:r>
      <w:r>
        <w:rPr>
          <w:spacing w:val="7"/>
        </w:rPr>
        <w:t>盛装原料、半成品、成品的容器混用。</w:t>
      </w:r>
    </w:p>
    <w:p>
      <w:pPr>
        <w:pStyle w:val="2"/>
        <w:spacing w:before="53" w:line="337" w:lineRule="auto"/>
        <w:ind w:left="21" w:firstLine="623"/>
      </w:pPr>
      <w:r>
        <w:rPr>
          <w:rFonts w:ascii="黑体" w:hAnsi="黑体" w:eastAsia="黑体" w:cs="黑体"/>
          <w:spacing w:val="1"/>
        </w:rPr>
        <w:t xml:space="preserve">第二十四条  </w:t>
      </w:r>
      <w:r>
        <w:rPr>
          <w:spacing w:val="1"/>
        </w:rPr>
        <w:t>应当具备供排水设施、通风设</w:t>
      </w:r>
      <w:r>
        <w:t xml:space="preserve">施、照明设施、 </w:t>
      </w:r>
      <w:r>
        <w:rPr>
          <w:spacing w:val="3"/>
        </w:rPr>
        <w:t>温控设施以及仓储设施。设施应当符合《食品安全国家标准 食</w:t>
      </w:r>
    </w:p>
    <w:p>
      <w:pPr>
        <w:pStyle w:val="2"/>
        <w:spacing w:before="59" w:line="222" w:lineRule="auto"/>
        <w:ind w:left="43"/>
      </w:pPr>
      <w:r>
        <w:rPr>
          <w:color w:val="333333"/>
          <w:spacing w:val="7"/>
        </w:rPr>
        <w:t>品添加剂生产通用卫生规范》（</w:t>
      </w:r>
      <w:r>
        <w:rPr>
          <w:rFonts w:ascii="Times New Roman" w:hAnsi="Times New Roman" w:eastAsia="Times New Roman" w:cs="Times New Roman"/>
          <w:color w:val="333333"/>
        </w:rPr>
        <w:t>GB</w:t>
      </w:r>
      <w:r>
        <w:rPr>
          <w:rFonts w:ascii="Times New Roman" w:hAnsi="Times New Roman" w:eastAsia="Times New Roman" w:cs="Times New Roman"/>
          <w:color w:val="333333"/>
          <w:spacing w:val="7"/>
        </w:rPr>
        <w:t xml:space="preserve"> 31647</w:t>
      </w:r>
      <w:r>
        <w:rPr>
          <w:color w:val="333333"/>
          <w:spacing w:val="7"/>
        </w:rPr>
        <w:t>）中相关</w:t>
      </w:r>
      <w:r>
        <w:rPr>
          <w:color w:val="333333"/>
          <w:spacing w:val="6"/>
        </w:rPr>
        <w:t>规定。</w:t>
      </w:r>
    </w:p>
    <w:p>
      <w:pPr>
        <w:pStyle w:val="2"/>
        <w:spacing w:before="217" w:line="349" w:lineRule="auto"/>
        <w:ind w:left="3" w:right="95" w:firstLine="640"/>
        <w:jc w:val="both"/>
      </w:pPr>
      <w:r>
        <w:rPr>
          <w:rFonts w:ascii="黑体" w:hAnsi="黑体" w:eastAsia="黑体" w:cs="黑体"/>
          <w:spacing w:val="9"/>
        </w:rPr>
        <w:t xml:space="preserve">第二十五条  </w:t>
      </w:r>
      <w:r>
        <w:rPr>
          <w:spacing w:val="9"/>
        </w:rPr>
        <w:t>生产场所应当设置更衣室。必要时特定的作</w:t>
      </w:r>
      <w:r>
        <w:rPr>
          <w:spacing w:val="1"/>
        </w:rPr>
        <w:t xml:space="preserve"> </w:t>
      </w:r>
      <w:r>
        <w:rPr>
          <w:spacing w:val="9"/>
        </w:rPr>
        <w:t>业区入口处可按需设置更衣室，按需设置换鞋（穿鞋套）设施</w:t>
      </w:r>
      <w:r>
        <w:rPr>
          <w:spacing w:val="13"/>
        </w:rPr>
        <w:t xml:space="preserve"> </w:t>
      </w:r>
      <w:r>
        <w:rPr>
          <w:spacing w:val="9"/>
        </w:rPr>
        <w:t>或工作鞋靴消毒设施。应当在清洁作业区入口设置洗手、干手</w:t>
      </w:r>
      <w:r>
        <w:rPr>
          <w:spacing w:val="13"/>
        </w:rPr>
        <w:t xml:space="preserve"> </w:t>
      </w:r>
      <w:r>
        <w:rPr>
          <w:spacing w:val="9"/>
        </w:rPr>
        <w:t>设施，必要时应当设置消毒设施；如有需要，应当在作业区内</w:t>
      </w:r>
      <w:r>
        <w:rPr>
          <w:spacing w:val="13"/>
        </w:rPr>
        <w:t xml:space="preserve"> </w:t>
      </w:r>
      <w:r>
        <w:rPr>
          <w:spacing w:val="9"/>
        </w:rPr>
        <w:t>适当位置加设洗手和（或）消毒设施；与消毒设施配套的水龙</w:t>
      </w:r>
      <w:r>
        <w:rPr>
          <w:spacing w:val="13"/>
        </w:rPr>
        <w:t xml:space="preserve"> </w:t>
      </w:r>
      <w:r>
        <w:rPr>
          <w:spacing w:val="9"/>
        </w:rPr>
        <w:t>头其开关应当为非手动式，必要时应当设置冷热水混合器。</w:t>
      </w:r>
    </w:p>
    <w:p>
      <w:pPr>
        <w:pStyle w:val="2"/>
        <w:spacing w:before="48" w:line="348" w:lineRule="auto"/>
        <w:ind w:right="13" w:firstLine="644"/>
        <w:jc w:val="both"/>
      </w:pPr>
      <w:r>
        <w:rPr>
          <w:rFonts w:ascii="黑体" w:hAnsi="黑体" w:eastAsia="黑体" w:cs="黑体"/>
          <w:spacing w:val="9"/>
        </w:rPr>
        <w:t xml:space="preserve">第二十六条  </w:t>
      </w:r>
      <w:r>
        <w:rPr>
          <w:spacing w:val="9"/>
        </w:rPr>
        <w:t>企业自行检验的，应当按照相应的食品安全</w:t>
      </w:r>
      <w:r>
        <w:rPr>
          <w:spacing w:val="1"/>
        </w:rPr>
        <w:t xml:space="preserve"> </w:t>
      </w:r>
      <w:r>
        <w:rPr>
          <w:spacing w:val="9"/>
        </w:rPr>
        <w:t>国家标准、国务院卫生行政部门公告等规定的检验项目配备满</w:t>
      </w:r>
      <w:r>
        <w:rPr>
          <w:spacing w:val="16"/>
        </w:rPr>
        <w:t xml:space="preserve"> </w:t>
      </w:r>
      <w:r>
        <w:rPr>
          <w:spacing w:val="1"/>
        </w:rPr>
        <w:t>足原料检验、半成品检验、成品出厂检验所需的检验设备设施，</w:t>
      </w:r>
      <w:r>
        <w:rPr>
          <w:spacing w:val="3"/>
        </w:rPr>
        <w:t xml:space="preserve"> </w:t>
      </w:r>
      <w:r>
        <w:rPr>
          <w:spacing w:val="9"/>
        </w:rPr>
        <w:t>并确保检验设备设施的性能、精度满足检验要求。检验设备设</w:t>
      </w:r>
      <w:r>
        <w:rPr>
          <w:spacing w:val="14"/>
        </w:rPr>
        <w:t xml:space="preserve"> </w:t>
      </w:r>
      <w:r>
        <w:rPr>
          <w:spacing w:val="8"/>
        </w:rPr>
        <w:t>施的数量应当与企业生产能力相适应。</w:t>
      </w:r>
    </w:p>
    <w:p>
      <w:pPr>
        <w:spacing w:line="348" w:lineRule="auto"/>
        <w:sectPr>
          <w:footerReference r:id="rId13" w:type="default"/>
          <w:pgSz w:w="12240" w:h="15840"/>
          <w:pgMar w:top="1346" w:right="1705" w:bottom="897" w:left="1808" w:header="0" w:footer="723" w:gutter="0"/>
          <w:cols w:space="720" w:num="1"/>
        </w:sectPr>
      </w:pPr>
    </w:p>
    <w:p>
      <w:pPr>
        <w:pStyle w:val="2"/>
        <w:spacing w:before="322" w:line="224" w:lineRule="auto"/>
        <w:ind w:left="648"/>
      </w:pPr>
      <w:r>
        <w:rPr>
          <w:rFonts w:ascii="黑体" w:hAnsi="黑体" w:eastAsia="黑体" w:cs="黑体"/>
          <w:spacing w:val="9"/>
        </w:rPr>
        <w:t xml:space="preserve">第二十七条  </w:t>
      </w:r>
      <w:r>
        <w:rPr>
          <w:spacing w:val="9"/>
        </w:rPr>
        <w:t>采用快速检测方法的，应当配备相应的检验</w:t>
      </w:r>
    </w:p>
    <w:p>
      <w:pPr>
        <w:pStyle w:val="2"/>
        <w:spacing w:before="217" w:line="224" w:lineRule="auto"/>
        <w:ind w:left="7"/>
      </w:pPr>
      <w:r>
        <w:rPr>
          <w:spacing w:val="5"/>
        </w:rPr>
        <w:t>设备设施。</w:t>
      </w:r>
    </w:p>
    <w:p>
      <w:pPr>
        <w:spacing w:before="331" w:line="226" w:lineRule="auto"/>
        <w:ind w:left="2328"/>
        <w:outlineLvl w:val="1"/>
        <w:rPr>
          <w:rFonts w:ascii="黑体" w:hAnsi="黑体" w:eastAsia="黑体" w:cs="黑体"/>
          <w:sz w:val="31"/>
          <w:szCs w:val="31"/>
        </w:rPr>
      </w:pPr>
      <w:r>
        <w:rPr>
          <w:rFonts w:ascii="黑体" w:hAnsi="黑体" w:eastAsia="黑体" w:cs="黑体"/>
          <w:spacing w:val="8"/>
          <w:sz w:val="31"/>
          <w:szCs w:val="31"/>
        </w:rPr>
        <w:t>第四章 设备布局和工艺流程</w:t>
      </w:r>
    </w:p>
    <w:p>
      <w:pPr>
        <w:spacing w:line="278" w:lineRule="auto"/>
        <w:rPr>
          <w:rFonts w:ascii="Arial"/>
          <w:sz w:val="21"/>
        </w:rPr>
      </w:pPr>
    </w:p>
    <w:p>
      <w:pPr>
        <w:pStyle w:val="2"/>
        <w:spacing w:before="101" w:line="224" w:lineRule="auto"/>
        <w:ind w:left="648"/>
      </w:pPr>
      <w:r>
        <w:rPr>
          <w:rFonts w:ascii="黑体" w:hAnsi="黑体" w:eastAsia="黑体" w:cs="黑体"/>
          <w:spacing w:val="8"/>
        </w:rPr>
        <w:t xml:space="preserve">第二十八条  </w:t>
      </w:r>
      <w:r>
        <w:rPr>
          <w:spacing w:val="8"/>
        </w:rPr>
        <w:t>应当具备合理的生产设备布局和工艺流程，</w:t>
      </w:r>
    </w:p>
    <w:p>
      <w:pPr>
        <w:pStyle w:val="2"/>
        <w:spacing w:before="218" w:line="222" w:lineRule="auto"/>
        <w:ind w:left="4"/>
      </w:pPr>
      <w:r>
        <w:rPr>
          <w:spacing w:val="7"/>
        </w:rPr>
        <w:t>避免交叉污染。</w:t>
      </w:r>
    </w:p>
    <w:p>
      <w:pPr>
        <w:pStyle w:val="2"/>
        <w:spacing w:before="222" w:line="347" w:lineRule="auto"/>
        <w:ind w:left="4" w:right="255" w:firstLine="643"/>
        <w:jc w:val="both"/>
      </w:pPr>
      <w:r>
        <w:rPr>
          <w:rFonts w:ascii="黑体" w:hAnsi="黑体" w:eastAsia="黑体" w:cs="黑体"/>
          <w:spacing w:val="9"/>
        </w:rPr>
        <w:t xml:space="preserve">第二十九条  </w:t>
      </w:r>
      <w:r>
        <w:rPr>
          <w:spacing w:val="9"/>
        </w:rPr>
        <w:t>应当严格按照食品安全国家标准、国务院卫</w:t>
      </w:r>
      <w:r>
        <w:rPr>
          <w:spacing w:val="1"/>
        </w:rPr>
        <w:t xml:space="preserve"> </w:t>
      </w:r>
      <w:r>
        <w:rPr>
          <w:spacing w:val="9"/>
        </w:rPr>
        <w:t>生行政部门公告规定的原料、工艺组织生产食品添加剂。对于</w:t>
      </w:r>
      <w:r>
        <w:rPr>
          <w:spacing w:val="15"/>
        </w:rPr>
        <w:t xml:space="preserve"> </w:t>
      </w:r>
      <w:r>
        <w:rPr>
          <w:spacing w:val="9"/>
        </w:rPr>
        <w:t>标准、公告未规定原料和工艺的食品添加剂，企业可自行选择</w:t>
      </w:r>
      <w:r>
        <w:rPr>
          <w:spacing w:val="13"/>
        </w:rPr>
        <w:t xml:space="preserve"> </w:t>
      </w:r>
      <w:r>
        <w:rPr>
          <w:spacing w:val="9"/>
        </w:rPr>
        <w:t>合适的原料和工艺，企业应当加强生产过程管理，不得使用可</w:t>
      </w:r>
      <w:r>
        <w:rPr>
          <w:spacing w:val="15"/>
        </w:rPr>
        <w:t xml:space="preserve"> </w:t>
      </w:r>
      <w:r>
        <w:rPr>
          <w:spacing w:val="8"/>
        </w:rPr>
        <w:t>能会给人体带来健康风险的生产工艺。</w:t>
      </w:r>
    </w:p>
    <w:p>
      <w:pPr>
        <w:pStyle w:val="2"/>
        <w:spacing w:before="2" w:line="319" w:lineRule="auto"/>
        <w:ind w:left="34" w:firstLine="633"/>
      </w:pPr>
      <w:r>
        <w:rPr>
          <w:spacing w:val="6"/>
        </w:rPr>
        <w:t>生产酶制剂的来源和供体应当符合相应食品安全国家标准、</w:t>
      </w:r>
      <w:r>
        <w:rPr>
          <w:spacing w:val="5"/>
        </w:rPr>
        <w:t xml:space="preserve"> 国务院卫生行政部门公告。</w:t>
      </w:r>
    </w:p>
    <w:p>
      <w:pPr>
        <w:pStyle w:val="2"/>
        <w:spacing w:before="100" w:line="337" w:lineRule="auto"/>
        <w:ind w:left="22" w:right="256" w:firstLine="625"/>
      </w:pPr>
      <w:r>
        <w:rPr>
          <w:rFonts w:ascii="黑体" w:hAnsi="黑体" w:eastAsia="黑体" w:cs="黑体"/>
          <w:spacing w:val="9"/>
        </w:rPr>
        <w:t xml:space="preserve">第三十条  </w:t>
      </w:r>
      <w:r>
        <w:rPr>
          <w:spacing w:val="9"/>
        </w:rPr>
        <w:t>企业应当根据产品特性、质量要求、风险</w:t>
      </w:r>
      <w:r>
        <w:rPr>
          <w:spacing w:val="8"/>
        </w:rPr>
        <w:t>控制</w:t>
      </w:r>
      <w:r>
        <w:t xml:space="preserve"> </w:t>
      </w:r>
      <w:r>
        <w:rPr>
          <w:spacing w:val="9"/>
        </w:rPr>
        <w:t>等因素确定关键控制环节。食品添加剂常规生产工艺流程</w:t>
      </w:r>
      <w:r>
        <w:rPr>
          <w:spacing w:val="8"/>
        </w:rPr>
        <w:t>及关</w:t>
      </w:r>
    </w:p>
    <w:p>
      <w:pPr>
        <w:pStyle w:val="2"/>
        <w:spacing w:before="58" w:line="222" w:lineRule="auto"/>
      </w:pPr>
      <w:r>
        <w:rPr>
          <w:spacing w:val="6"/>
        </w:rPr>
        <w:t>键控制环节见表</w:t>
      </w:r>
      <w:r>
        <w:rPr>
          <w:spacing w:val="-60"/>
        </w:rPr>
        <w:t xml:space="preserve"> </w:t>
      </w:r>
      <w:r>
        <w:rPr>
          <w:rFonts w:ascii="Times New Roman" w:hAnsi="Times New Roman" w:eastAsia="Times New Roman" w:cs="Times New Roman"/>
          <w:spacing w:val="6"/>
        </w:rPr>
        <w:t>3</w:t>
      </w:r>
      <w:r>
        <w:rPr>
          <w:spacing w:val="6"/>
        </w:rPr>
        <w:t>。</w:t>
      </w:r>
    </w:p>
    <w:p>
      <w:pPr>
        <w:spacing w:before="34" w:line="212" w:lineRule="auto"/>
        <w:ind w:left="1495"/>
        <w:rPr>
          <w:rFonts w:ascii="黑体" w:hAnsi="黑体" w:eastAsia="黑体" w:cs="黑体"/>
          <w:sz w:val="28"/>
          <w:szCs w:val="28"/>
        </w:rPr>
      </w:pPr>
      <w:r>
        <w:rPr>
          <w:rFonts w:ascii="黑体" w:hAnsi="黑体" w:eastAsia="黑体" w:cs="黑体"/>
          <w:spacing w:val="-1"/>
          <w:sz w:val="28"/>
          <w:szCs w:val="28"/>
        </w:rPr>
        <w:t>表</w:t>
      </w:r>
      <w:r>
        <w:rPr>
          <w:rFonts w:ascii="黑体" w:hAnsi="黑体" w:eastAsia="黑体" w:cs="黑体"/>
          <w:spacing w:val="-59"/>
          <w:sz w:val="28"/>
          <w:szCs w:val="28"/>
        </w:rPr>
        <w:t xml:space="preserve"> </w:t>
      </w:r>
      <w:r>
        <w:rPr>
          <w:rFonts w:ascii="Times New Roman" w:hAnsi="Times New Roman" w:eastAsia="Times New Roman" w:cs="Times New Roman"/>
          <w:spacing w:val="-1"/>
          <w:sz w:val="28"/>
          <w:szCs w:val="28"/>
        </w:rPr>
        <w:t xml:space="preserve">3  </w:t>
      </w:r>
      <w:r>
        <w:rPr>
          <w:rFonts w:ascii="黑体" w:hAnsi="黑体" w:eastAsia="黑体" w:cs="黑体"/>
          <w:spacing w:val="-1"/>
          <w:sz w:val="28"/>
          <w:szCs w:val="28"/>
        </w:rPr>
        <w:t>食品添加剂常规生产工艺流程及关键控</w:t>
      </w:r>
      <w:r>
        <w:rPr>
          <w:rFonts w:ascii="黑体" w:hAnsi="黑体" w:eastAsia="黑体" w:cs="黑体"/>
          <w:spacing w:val="-2"/>
          <w:sz w:val="28"/>
          <w:szCs w:val="28"/>
        </w:rPr>
        <w:t>制环节</w:t>
      </w:r>
    </w:p>
    <w:tbl>
      <w:tblPr>
        <w:tblStyle w:val="5"/>
        <w:tblW w:w="862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3400"/>
        <w:gridCol w:w="3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01" w:type="dxa"/>
            <w:vAlign w:val="top"/>
          </w:tcPr>
          <w:p>
            <w:pPr>
              <w:spacing w:before="83" w:line="208" w:lineRule="auto"/>
              <w:ind w:left="447"/>
              <w:rPr>
                <w:rFonts w:ascii="黑体" w:hAnsi="黑体" w:eastAsia="黑体" w:cs="黑体"/>
                <w:sz w:val="28"/>
                <w:szCs w:val="28"/>
              </w:rPr>
            </w:pPr>
            <w:r>
              <w:rPr>
                <w:rFonts w:ascii="黑体" w:hAnsi="黑体" w:eastAsia="黑体" w:cs="黑体"/>
                <w:spacing w:val="-2"/>
                <w:sz w:val="28"/>
                <w:szCs w:val="28"/>
              </w:rPr>
              <w:t>生产形式</w:t>
            </w:r>
          </w:p>
        </w:tc>
        <w:tc>
          <w:tcPr>
            <w:tcW w:w="3400" w:type="dxa"/>
            <w:vAlign w:val="top"/>
          </w:tcPr>
          <w:p>
            <w:pPr>
              <w:spacing w:before="83" w:line="208" w:lineRule="auto"/>
              <w:ind w:left="687"/>
              <w:rPr>
                <w:rFonts w:ascii="黑体" w:hAnsi="黑体" w:eastAsia="黑体" w:cs="黑体"/>
                <w:sz w:val="28"/>
                <w:szCs w:val="28"/>
              </w:rPr>
            </w:pPr>
            <w:r>
              <w:rPr>
                <w:rFonts w:ascii="黑体" w:hAnsi="黑体" w:eastAsia="黑体" w:cs="黑体"/>
                <w:spacing w:val="-4"/>
                <w:sz w:val="28"/>
                <w:szCs w:val="28"/>
              </w:rPr>
              <w:t>常规工艺流程</w:t>
            </w:r>
          </w:p>
        </w:tc>
        <w:tc>
          <w:tcPr>
            <w:tcW w:w="3219" w:type="dxa"/>
            <w:vAlign w:val="top"/>
          </w:tcPr>
          <w:p>
            <w:pPr>
              <w:spacing w:before="83" w:line="208" w:lineRule="auto"/>
              <w:ind w:left="788"/>
              <w:rPr>
                <w:rFonts w:ascii="黑体" w:hAnsi="黑体" w:eastAsia="黑体" w:cs="黑体"/>
                <w:sz w:val="28"/>
                <w:szCs w:val="28"/>
              </w:rPr>
            </w:pPr>
            <w:r>
              <w:rPr>
                <w:rFonts w:ascii="黑体" w:hAnsi="黑体" w:eastAsia="黑体" w:cs="黑体"/>
                <w:spacing w:val="-4"/>
                <w:sz w:val="28"/>
                <w:szCs w:val="28"/>
              </w:rPr>
              <w:t>关键控制环节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2001"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5" w:lineRule="auto"/>
              <w:ind w:left="279"/>
            </w:pPr>
            <w:r>
              <w:rPr>
                <w:spacing w:val="6"/>
              </w:rPr>
              <w:t>化学法（合成）</w:t>
            </w:r>
          </w:p>
        </w:tc>
        <w:tc>
          <w:tcPr>
            <w:tcW w:w="3400" w:type="dxa"/>
            <w:vAlign w:val="top"/>
          </w:tcPr>
          <w:p>
            <w:pPr>
              <w:spacing w:line="456" w:lineRule="auto"/>
              <w:rPr>
                <w:rFonts w:ascii="Arial"/>
                <w:sz w:val="21"/>
              </w:rPr>
            </w:pPr>
          </w:p>
          <w:p>
            <w:pPr>
              <w:pStyle w:val="6"/>
              <w:spacing w:before="65" w:line="243" w:lineRule="auto"/>
              <w:ind w:left="112" w:right="72" w:firstLine="425"/>
              <w:jc w:val="both"/>
            </w:pPr>
            <w:r>
              <w:rPr>
                <w:spacing w:val="10"/>
              </w:rPr>
              <w:t>原料验收</w:t>
            </w:r>
            <w:r>
              <w:rPr>
                <w:rFonts w:ascii="Times New Roman" w:hAnsi="Times New Roman" w:eastAsia="Times New Roman" w:cs="Times New Roman"/>
                <w:spacing w:val="10"/>
              </w:rPr>
              <w:t>-</w:t>
            </w:r>
            <w:r>
              <w:rPr>
                <w:spacing w:val="10"/>
              </w:rPr>
              <w:t>前处理</w:t>
            </w:r>
            <w:r>
              <w:rPr>
                <w:rFonts w:ascii="Times New Roman" w:hAnsi="Times New Roman" w:eastAsia="Times New Roman" w:cs="Times New Roman"/>
                <w:spacing w:val="10"/>
              </w:rPr>
              <w:t>-</w:t>
            </w:r>
            <w:r>
              <w:rPr>
                <w:spacing w:val="10"/>
              </w:rPr>
              <w:t>化学反应</w:t>
            </w:r>
            <w:r>
              <w:rPr>
                <w:rFonts w:ascii="Times New Roman" w:hAnsi="Times New Roman" w:eastAsia="Times New Roman" w:cs="Times New Roman"/>
                <w:spacing w:val="10"/>
              </w:rPr>
              <w:t>-</w:t>
            </w:r>
            <w:r>
              <w:rPr>
                <w:spacing w:val="10"/>
              </w:rPr>
              <w:t>分</w:t>
            </w:r>
            <w:r>
              <w:rPr>
                <w:spacing w:val="2"/>
              </w:rPr>
              <w:t xml:space="preserve"> </w:t>
            </w:r>
            <w:r>
              <w:rPr>
                <w:spacing w:val="7"/>
              </w:rPr>
              <w:t>离</w:t>
            </w:r>
            <w:r>
              <w:rPr>
                <w:rFonts w:ascii="Times New Roman" w:hAnsi="Times New Roman" w:eastAsia="Times New Roman" w:cs="Times New Roman"/>
                <w:spacing w:val="7"/>
              </w:rPr>
              <w:t>-</w:t>
            </w:r>
            <w:r>
              <w:rPr>
                <w:spacing w:val="7"/>
              </w:rPr>
              <w:t>筛分</w:t>
            </w:r>
            <w:r>
              <w:rPr>
                <w:rFonts w:ascii="Times New Roman" w:hAnsi="Times New Roman" w:eastAsia="Times New Roman" w:cs="Times New Roman"/>
                <w:spacing w:val="7"/>
              </w:rPr>
              <w:t>-</w:t>
            </w:r>
            <w:r>
              <w:rPr>
                <w:spacing w:val="7"/>
              </w:rPr>
              <w:t>干燥</w:t>
            </w:r>
            <w:r>
              <w:rPr>
                <w:rFonts w:ascii="Times New Roman" w:hAnsi="Times New Roman" w:eastAsia="Times New Roman" w:cs="Times New Roman"/>
                <w:spacing w:val="7"/>
              </w:rPr>
              <w:t>-</w:t>
            </w:r>
            <w:r>
              <w:rPr>
                <w:spacing w:val="7"/>
              </w:rPr>
              <w:t>计量</w:t>
            </w:r>
            <w:r>
              <w:rPr>
                <w:rFonts w:ascii="Times New Roman" w:hAnsi="Times New Roman" w:eastAsia="Times New Roman" w:cs="Times New Roman"/>
                <w:spacing w:val="7"/>
              </w:rPr>
              <w:t>-</w:t>
            </w:r>
            <w:r>
              <w:rPr>
                <w:spacing w:val="7"/>
              </w:rPr>
              <w:t>包装（或充装）</w:t>
            </w:r>
            <w:r>
              <w:rPr>
                <w:spacing w:val="16"/>
              </w:rPr>
              <w:t xml:space="preserve"> </w:t>
            </w:r>
            <w:r>
              <w:rPr>
                <w:rFonts w:ascii="Times New Roman" w:hAnsi="Times New Roman" w:eastAsia="Times New Roman" w:cs="Times New Roman"/>
                <w:spacing w:val="4"/>
              </w:rPr>
              <w:t>-</w:t>
            </w:r>
            <w:r>
              <w:rPr>
                <w:spacing w:val="4"/>
              </w:rPr>
              <w:t>成品</w:t>
            </w:r>
          </w:p>
        </w:tc>
        <w:tc>
          <w:tcPr>
            <w:tcW w:w="3219" w:type="dxa"/>
            <w:vAlign w:val="top"/>
          </w:tcPr>
          <w:p>
            <w:pPr>
              <w:pStyle w:val="6"/>
              <w:spacing w:before="111"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7" w:line="317" w:lineRule="auto"/>
              <w:ind w:left="115" w:right="70" w:hanging="4"/>
            </w:pPr>
            <w:r>
              <w:rPr>
                <w:rFonts w:ascii="Times New Roman" w:hAnsi="Times New Roman" w:eastAsia="Times New Roman" w:cs="Times New Roman"/>
                <w:spacing w:val="5"/>
              </w:rPr>
              <w:t>2.</w:t>
            </w:r>
            <w:r>
              <w:rPr>
                <w:spacing w:val="5"/>
              </w:rPr>
              <w:t>化学反应方式及相关参数控制；</w:t>
            </w:r>
            <w:r>
              <w:rPr>
                <w:spacing w:val="1"/>
              </w:rPr>
              <w:t xml:space="preserve"> </w:t>
            </w:r>
            <w:r>
              <w:rPr>
                <w:rFonts w:ascii="Times New Roman" w:hAnsi="Times New Roman" w:eastAsia="Times New Roman" w:cs="Times New Roman"/>
                <w:spacing w:val="7"/>
              </w:rPr>
              <w:t>3.</w:t>
            </w:r>
            <w:r>
              <w:rPr>
                <w:spacing w:val="7"/>
              </w:rPr>
              <w:t>分离方式及相关参数控制；</w:t>
            </w:r>
          </w:p>
          <w:p>
            <w:pPr>
              <w:pStyle w:val="6"/>
              <w:spacing w:before="34" w:line="277" w:lineRule="auto"/>
              <w:ind w:left="116" w:right="492" w:hanging="6"/>
            </w:pPr>
            <w:r>
              <w:rPr>
                <w:rFonts w:ascii="Times New Roman" w:hAnsi="Times New Roman" w:eastAsia="Times New Roman" w:cs="Times New Roman"/>
                <w:spacing w:val="4"/>
              </w:rPr>
              <w:t>4.</w:t>
            </w:r>
            <w:r>
              <w:rPr>
                <w:spacing w:val="4"/>
              </w:rPr>
              <w:t xml:space="preserve">干燥方式及相关参数控制； </w:t>
            </w:r>
            <w:r>
              <w:rPr>
                <w:rFonts w:ascii="Times New Roman" w:hAnsi="Times New Roman" w:eastAsia="Times New Roman" w:cs="Times New Roman"/>
                <w:spacing w:val="5"/>
              </w:rPr>
              <w:t>5.</w:t>
            </w:r>
            <w:r>
              <w:rPr>
                <w:rFonts w:ascii="Times New Roman" w:hAnsi="Times New Roman" w:eastAsia="Times New Roman" w:cs="Times New Roman"/>
                <w:spacing w:val="-23"/>
              </w:rPr>
              <w:t xml:space="preserve"> </w:t>
            </w:r>
            <w:r>
              <w:rPr>
                <w:spacing w:val="5"/>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6" w:hRule="atLeast"/>
        </w:trPr>
        <w:tc>
          <w:tcPr>
            <w:tcW w:w="2001" w:type="dxa"/>
            <w:vAlign w:val="top"/>
          </w:tcPr>
          <w:p>
            <w:pPr>
              <w:spacing w:line="373" w:lineRule="auto"/>
              <w:rPr>
                <w:rFonts w:ascii="Arial"/>
                <w:sz w:val="21"/>
              </w:rPr>
            </w:pPr>
          </w:p>
          <w:p>
            <w:pPr>
              <w:pStyle w:val="6"/>
              <w:spacing w:before="65" w:line="225" w:lineRule="auto"/>
              <w:ind w:left="279"/>
            </w:pPr>
            <w:r>
              <w:rPr>
                <w:spacing w:val="6"/>
              </w:rPr>
              <w:t>化学法（分离）</w:t>
            </w:r>
          </w:p>
        </w:tc>
        <w:tc>
          <w:tcPr>
            <w:tcW w:w="3400" w:type="dxa"/>
            <w:vAlign w:val="top"/>
          </w:tcPr>
          <w:p>
            <w:pPr>
              <w:pStyle w:val="6"/>
              <w:spacing w:before="303" w:line="237" w:lineRule="auto"/>
              <w:ind w:left="120" w:right="101" w:firstLine="416"/>
            </w:pPr>
            <w:r>
              <w:rPr>
                <w:spacing w:val="19"/>
              </w:rPr>
              <w:t>原料验收</w:t>
            </w:r>
            <w:r>
              <w:rPr>
                <w:rFonts w:ascii="Times New Roman" w:hAnsi="Times New Roman" w:eastAsia="Times New Roman" w:cs="Times New Roman"/>
                <w:spacing w:val="19"/>
              </w:rPr>
              <w:t>-</w:t>
            </w:r>
            <w:r>
              <w:rPr>
                <w:spacing w:val="19"/>
              </w:rPr>
              <w:t>前处理</w:t>
            </w:r>
            <w:r>
              <w:rPr>
                <w:rFonts w:ascii="Times New Roman" w:hAnsi="Times New Roman" w:eastAsia="Times New Roman" w:cs="Times New Roman"/>
                <w:spacing w:val="19"/>
              </w:rPr>
              <w:t>-</w:t>
            </w:r>
            <w:r>
              <w:rPr>
                <w:spacing w:val="19"/>
              </w:rPr>
              <w:t>分离</w:t>
            </w:r>
            <w:r>
              <w:rPr>
                <w:rFonts w:ascii="Times New Roman" w:hAnsi="Times New Roman" w:eastAsia="Times New Roman" w:cs="Times New Roman"/>
                <w:spacing w:val="19"/>
              </w:rPr>
              <w:t>-</w:t>
            </w:r>
            <w:r>
              <w:rPr>
                <w:spacing w:val="19"/>
              </w:rPr>
              <w:t>筛分</w:t>
            </w:r>
            <w:r>
              <w:rPr>
                <w:rFonts w:ascii="Times New Roman" w:hAnsi="Times New Roman" w:eastAsia="Times New Roman" w:cs="Times New Roman"/>
                <w:spacing w:val="19"/>
              </w:rPr>
              <w:t>-</w:t>
            </w:r>
            <w:r>
              <w:rPr>
                <w:rFonts w:ascii="Times New Roman" w:hAnsi="Times New Roman" w:eastAsia="Times New Roman" w:cs="Times New Roman"/>
                <w:spacing w:val="3"/>
              </w:rPr>
              <w:t xml:space="preserve"> </w:t>
            </w:r>
            <w:r>
              <w:rPr>
                <w:spacing w:val="6"/>
              </w:rPr>
              <w:t>干燥</w:t>
            </w:r>
            <w:r>
              <w:rPr>
                <w:rFonts w:ascii="Times New Roman" w:hAnsi="Times New Roman" w:eastAsia="Times New Roman" w:cs="Times New Roman"/>
                <w:spacing w:val="6"/>
              </w:rPr>
              <w:t>-</w:t>
            </w:r>
            <w:r>
              <w:rPr>
                <w:spacing w:val="6"/>
              </w:rPr>
              <w:t>计量</w:t>
            </w:r>
            <w:r>
              <w:rPr>
                <w:rFonts w:ascii="Times New Roman" w:hAnsi="Times New Roman" w:eastAsia="Times New Roman" w:cs="Times New Roman"/>
                <w:spacing w:val="6"/>
              </w:rPr>
              <w:t>-</w:t>
            </w:r>
            <w:r>
              <w:rPr>
                <w:spacing w:val="6"/>
              </w:rPr>
              <w:t>包装</w:t>
            </w:r>
            <w:r>
              <w:rPr>
                <w:rFonts w:ascii="Times New Roman" w:hAnsi="Times New Roman" w:eastAsia="Times New Roman" w:cs="Times New Roman"/>
                <w:spacing w:val="6"/>
              </w:rPr>
              <w:t>-</w:t>
            </w:r>
            <w:r>
              <w:rPr>
                <w:spacing w:val="6"/>
              </w:rPr>
              <w:t>成品</w:t>
            </w:r>
          </w:p>
        </w:tc>
        <w:tc>
          <w:tcPr>
            <w:tcW w:w="3219" w:type="dxa"/>
            <w:vAlign w:val="top"/>
          </w:tcPr>
          <w:p>
            <w:pPr>
              <w:pStyle w:val="6"/>
              <w:spacing w:before="113"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8" w:line="278" w:lineRule="auto"/>
              <w:ind w:left="115" w:right="492" w:hanging="4"/>
            </w:pPr>
            <w:r>
              <w:rPr>
                <w:rFonts w:ascii="Times New Roman" w:hAnsi="Times New Roman" w:eastAsia="Times New Roman" w:cs="Times New Roman"/>
                <w:spacing w:val="4"/>
              </w:rPr>
              <w:t>2.</w:t>
            </w:r>
            <w:r>
              <w:rPr>
                <w:spacing w:val="4"/>
              </w:rPr>
              <w:t>分离方式及相关参数控制；</w:t>
            </w:r>
            <w:r>
              <w:rPr>
                <w:spacing w:val="3"/>
              </w:rPr>
              <w:t xml:space="preserve"> </w:t>
            </w:r>
            <w:r>
              <w:rPr>
                <w:rFonts w:ascii="Times New Roman" w:hAnsi="Times New Roman" w:eastAsia="Times New Roman" w:cs="Times New Roman"/>
                <w:spacing w:val="3"/>
              </w:rPr>
              <w:t>3.</w:t>
            </w:r>
            <w:r>
              <w:rPr>
                <w:spacing w:val="3"/>
              </w:rPr>
              <w:t>干燥方式及相关参数控制；</w:t>
            </w:r>
          </w:p>
        </w:tc>
      </w:tr>
    </w:tbl>
    <w:p>
      <w:pPr>
        <w:rPr>
          <w:rFonts w:ascii="Arial"/>
          <w:sz w:val="21"/>
        </w:rPr>
      </w:pPr>
    </w:p>
    <w:p>
      <w:pPr>
        <w:rPr>
          <w:rFonts w:ascii="Arial" w:hAnsi="Arial" w:eastAsia="Arial" w:cs="Arial"/>
          <w:sz w:val="21"/>
          <w:szCs w:val="21"/>
        </w:rPr>
        <w:sectPr>
          <w:footerReference r:id="rId14" w:type="default"/>
          <w:pgSz w:w="12240" w:h="15840"/>
          <w:pgMar w:top="1346" w:right="1544" w:bottom="897" w:left="1805" w:header="0" w:footer="723" w:gutter="0"/>
          <w:cols w:space="720" w:num="1"/>
        </w:sectPr>
      </w:pPr>
    </w:p>
    <w:p>
      <w:pPr>
        <w:spacing w:line="93" w:lineRule="exact"/>
      </w:pPr>
    </w:p>
    <w:tbl>
      <w:tblPr>
        <w:tblStyle w:val="5"/>
        <w:tblW w:w="8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3400"/>
        <w:gridCol w:w="3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001" w:type="dxa"/>
            <w:vAlign w:val="top"/>
          </w:tcPr>
          <w:p>
            <w:pPr>
              <w:spacing w:before="83" w:line="209" w:lineRule="auto"/>
              <w:ind w:left="447"/>
              <w:rPr>
                <w:rFonts w:ascii="黑体" w:hAnsi="黑体" w:eastAsia="黑体" w:cs="黑体"/>
                <w:sz w:val="28"/>
                <w:szCs w:val="28"/>
              </w:rPr>
            </w:pPr>
            <w:r>
              <w:rPr>
                <w:rFonts w:ascii="黑体" w:hAnsi="黑体" w:eastAsia="黑体" w:cs="黑体"/>
                <w:spacing w:val="-2"/>
                <w:sz w:val="28"/>
                <w:szCs w:val="28"/>
              </w:rPr>
              <w:t>生产形式</w:t>
            </w:r>
          </w:p>
        </w:tc>
        <w:tc>
          <w:tcPr>
            <w:tcW w:w="3400" w:type="dxa"/>
            <w:vAlign w:val="top"/>
          </w:tcPr>
          <w:p>
            <w:pPr>
              <w:spacing w:before="83" w:line="209" w:lineRule="auto"/>
              <w:ind w:left="687"/>
              <w:rPr>
                <w:rFonts w:ascii="黑体" w:hAnsi="黑体" w:eastAsia="黑体" w:cs="黑体"/>
                <w:sz w:val="28"/>
                <w:szCs w:val="28"/>
              </w:rPr>
            </w:pPr>
            <w:r>
              <w:rPr>
                <w:rFonts w:ascii="黑体" w:hAnsi="黑体" w:eastAsia="黑体" w:cs="黑体"/>
                <w:spacing w:val="-4"/>
                <w:sz w:val="28"/>
                <w:szCs w:val="28"/>
              </w:rPr>
              <w:t>常规工艺流程</w:t>
            </w:r>
          </w:p>
        </w:tc>
        <w:tc>
          <w:tcPr>
            <w:tcW w:w="3219" w:type="dxa"/>
            <w:vAlign w:val="top"/>
          </w:tcPr>
          <w:p>
            <w:pPr>
              <w:spacing w:before="83" w:line="209" w:lineRule="auto"/>
              <w:ind w:left="788"/>
              <w:rPr>
                <w:rFonts w:ascii="黑体" w:hAnsi="黑体" w:eastAsia="黑体" w:cs="黑体"/>
                <w:sz w:val="28"/>
                <w:szCs w:val="28"/>
              </w:rPr>
            </w:pPr>
            <w:r>
              <w:rPr>
                <w:rFonts w:ascii="黑体" w:hAnsi="黑体" w:eastAsia="黑体" w:cs="黑体"/>
                <w:spacing w:val="-4"/>
                <w:sz w:val="28"/>
                <w:szCs w:val="28"/>
              </w:rPr>
              <w:t>关键控制环节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001" w:type="dxa"/>
            <w:vAlign w:val="top"/>
          </w:tcPr>
          <w:p>
            <w:pPr>
              <w:rPr>
                <w:rFonts w:ascii="Arial"/>
                <w:sz w:val="21"/>
              </w:rPr>
            </w:pPr>
          </w:p>
        </w:tc>
        <w:tc>
          <w:tcPr>
            <w:tcW w:w="3400" w:type="dxa"/>
            <w:vAlign w:val="top"/>
          </w:tcPr>
          <w:p>
            <w:pPr>
              <w:rPr>
                <w:rFonts w:ascii="Arial"/>
                <w:sz w:val="21"/>
              </w:rPr>
            </w:pPr>
          </w:p>
        </w:tc>
        <w:tc>
          <w:tcPr>
            <w:tcW w:w="3219" w:type="dxa"/>
            <w:vAlign w:val="top"/>
          </w:tcPr>
          <w:p>
            <w:pPr>
              <w:pStyle w:val="6"/>
              <w:spacing w:before="110" w:line="224" w:lineRule="auto"/>
              <w:ind w:left="110"/>
            </w:pPr>
            <w:r>
              <w:rPr>
                <w:rFonts w:ascii="Times New Roman" w:hAnsi="Times New Roman" w:eastAsia="Times New Roman" w:cs="Times New Roman"/>
                <w:spacing w:val="6"/>
              </w:rPr>
              <w:t>4.</w:t>
            </w:r>
            <w:r>
              <w:rPr>
                <w:rFonts w:ascii="Times New Roman" w:hAnsi="Times New Roman" w:eastAsia="Times New Roman" w:cs="Times New Roman"/>
                <w:spacing w:val="-29"/>
              </w:rPr>
              <w:t xml:space="preserve"> </w:t>
            </w:r>
            <w:r>
              <w:rPr>
                <w:spacing w:val="6"/>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2001"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5" w:line="238" w:lineRule="auto"/>
              <w:ind w:left="582" w:right="474" w:hanging="95"/>
            </w:pPr>
            <w:r>
              <w:rPr>
                <w:spacing w:val="6"/>
              </w:rPr>
              <w:t>物理分离法</w:t>
            </w:r>
            <w:r>
              <w:rPr>
                <w:spacing w:val="3"/>
              </w:rPr>
              <w:t xml:space="preserve"> </w:t>
            </w:r>
            <w:r>
              <w:rPr>
                <w:spacing w:val="7"/>
              </w:rPr>
              <w:t>（气体）</w:t>
            </w:r>
          </w:p>
        </w:tc>
        <w:tc>
          <w:tcPr>
            <w:tcW w:w="3400"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65" w:line="238" w:lineRule="auto"/>
              <w:ind w:left="110" w:right="101" w:firstLine="427"/>
            </w:pPr>
            <w:r>
              <w:rPr>
                <w:spacing w:val="13"/>
              </w:rPr>
              <w:t>原料验收</w:t>
            </w:r>
            <w:r>
              <w:rPr>
                <w:rFonts w:ascii="Times New Roman" w:hAnsi="Times New Roman" w:eastAsia="Times New Roman" w:cs="Times New Roman"/>
                <w:spacing w:val="13"/>
              </w:rPr>
              <w:t>--</w:t>
            </w:r>
            <w:r>
              <w:rPr>
                <w:spacing w:val="13"/>
              </w:rPr>
              <w:t>干燥</w:t>
            </w:r>
            <w:r>
              <w:rPr>
                <w:rFonts w:ascii="Times New Roman" w:hAnsi="Times New Roman" w:eastAsia="Times New Roman" w:cs="Times New Roman"/>
                <w:spacing w:val="13"/>
              </w:rPr>
              <w:t>-</w:t>
            </w:r>
            <w:r>
              <w:rPr>
                <w:spacing w:val="13"/>
              </w:rPr>
              <w:t>压缩</w:t>
            </w:r>
            <w:r>
              <w:rPr>
                <w:rFonts w:ascii="Times New Roman" w:hAnsi="Times New Roman" w:eastAsia="Times New Roman" w:cs="Times New Roman"/>
                <w:spacing w:val="13"/>
              </w:rPr>
              <w:t>-</w:t>
            </w:r>
            <w:r>
              <w:rPr>
                <w:spacing w:val="13"/>
              </w:rPr>
              <w:t>液化</w:t>
            </w:r>
            <w:r>
              <w:rPr>
                <w:rFonts w:ascii="Times New Roman" w:hAnsi="Times New Roman" w:eastAsia="Times New Roman" w:cs="Times New Roman"/>
                <w:spacing w:val="13"/>
              </w:rPr>
              <w:t>-</w:t>
            </w:r>
            <w:r>
              <w:rPr>
                <w:spacing w:val="13"/>
              </w:rPr>
              <w:t xml:space="preserve">精 </w:t>
            </w:r>
            <w:r>
              <w:rPr>
                <w:spacing w:val="7"/>
              </w:rPr>
              <w:t>馏</w:t>
            </w:r>
            <w:r>
              <w:rPr>
                <w:rFonts w:ascii="Times New Roman" w:hAnsi="Times New Roman" w:eastAsia="Times New Roman" w:cs="Times New Roman"/>
                <w:spacing w:val="7"/>
              </w:rPr>
              <w:t>-</w:t>
            </w:r>
            <w:r>
              <w:rPr>
                <w:spacing w:val="7"/>
              </w:rPr>
              <w:t>纯化</w:t>
            </w:r>
            <w:r>
              <w:rPr>
                <w:rFonts w:ascii="Times New Roman" w:hAnsi="Times New Roman" w:eastAsia="Times New Roman" w:cs="Times New Roman"/>
                <w:spacing w:val="7"/>
              </w:rPr>
              <w:t>-</w:t>
            </w:r>
            <w:r>
              <w:rPr>
                <w:spacing w:val="7"/>
              </w:rPr>
              <w:t>计量</w:t>
            </w:r>
            <w:r>
              <w:rPr>
                <w:rFonts w:ascii="Times New Roman" w:hAnsi="Times New Roman" w:eastAsia="Times New Roman" w:cs="Times New Roman"/>
                <w:spacing w:val="7"/>
              </w:rPr>
              <w:t>-</w:t>
            </w:r>
            <w:r>
              <w:rPr>
                <w:spacing w:val="7"/>
              </w:rPr>
              <w:t>充装</w:t>
            </w:r>
            <w:r>
              <w:rPr>
                <w:rFonts w:ascii="Times New Roman" w:hAnsi="Times New Roman" w:eastAsia="Times New Roman" w:cs="Times New Roman"/>
                <w:spacing w:val="7"/>
              </w:rPr>
              <w:t>-</w:t>
            </w:r>
            <w:r>
              <w:rPr>
                <w:spacing w:val="7"/>
              </w:rPr>
              <w:t>成品</w:t>
            </w:r>
          </w:p>
        </w:tc>
        <w:tc>
          <w:tcPr>
            <w:tcW w:w="3219" w:type="dxa"/>
            <w:vAlign w:val="top"/>
          </w:tcPr>
          <w:p>
            <w:pPr>
              <w:pStyle w:val="6"/>
              <w:spacing w:before="110"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21" w:line="314" w:lineRule="auto"/>
              <w:ind w:left="110" w:right="492" w:firstLine="1"/>
            </w:pPr>
            <w:r>
              <w:rPr>
                <w:rFonts w:ascii="Times New Roman" w:hAnsi="Times New Roman" w:eastAsia="Times New Roman" w:cs="Times New Roman"/>
                <w:spacing w:val="4"/>
              </w:rPr>
              <w:t>2.</w:t>
            </w:r>
            <w:r>
              <w:rPr>
                <w:spacing w:val="4"/>
              </w:rPr>
              <w:t>干燥方式及相关参数控制；</w:t>
            </w:r>
            <w:r>
              <w:rPr>
                <w:spacing w:val="3"/>
              </w:rPr>
              <w:t xml:space="preserve"> </w:t>
            </w:r>
            <w:r>
              <w:rPr>
                <w:rFonts w:ascii="Times New Roman" w:hAnsi="Times New Roman" w:eastAsia="Times New Roman" w:cs="Times New Roman"/>
                <w:spacing w:val="4"/>
              </w:rPr>
              <w:t>3.</w:t>
            </w:r>
            <w:r>
              <w:rPr>
                <w:spacing w:val="4"/>
              </w:rPr>
              <w:t xml:space="preserve">压缩方式及相关参数控制； </w:t>
            </w:r>
            <w:r>
              <w:rPr>
                <w:rFonts w:ascii="Times New Roman" w:hAnsi="Times New Roman" w:eastAsia="Times New Roman" w:cs="Times New Roman"/>
                <w:spacing w:val="4"/>
              </w:rPr>
              <w:t>4.</w:t>
            </w:r>
            <w:r>
              <w:rPr>
                <w:spacing w:val="4"/>
              </w:rPr>
              <w:t xml:space="preserve">液化方式及相关参数控制； </w:t>
            </w:r>
            <w:r>
              <w:rPr>
                <w:rFonts w:ascii="Times New Roman" w:hAnsi="Times New Roman" w:eastAsia="Times New Roman" w:cs="Times New Roman"/>
                <w:spacing w:val="4"/>
              </w:rPr>
              <w:t>5.</w:t>
            </w:r>
            <w:r>
              <w:rPr>
                <w:spacing w:val="4"/>
              </w:rPr>
              <w:t xml:space="preserve">精馏方式及相关参数控制； </w:t>
            </w:r>
            <w:r>
              <w:rPr>
                <w:rFonts w:ascii="Times New Roman" w:hAnsi="Times New Roman" w:eastAsia="Times New Roman" w:cs="Times New Roman"/>
                <w:spacing w:val="4"/>
              </w:rPr>
              <w:t>6.</w:t>
            </w:r>
            <w:r>
              <w:rPr>
                <w:spacing w:val="4"/>
              </w:rPr>
              <w:t xml:space="preserve">纯化方式及相关参数控制； </w:t>
            </w:r>
            <w:r>
              <w:rPr>
                <w:rFonts w:ascii="Times New Roman" w:hAnsi="Times New Roman" w:eastAsia="Times New Roman" w:cs="Times New Roman"/>
                <w:spacing w:val="6"/>
              </w:rPr>
              <w:t>7.</w:t>
            </w:r>
            <w:r>
              <w:rPr>
                <w:rFonts w:ascii="Times New Roman" w:hAnsi="Times New Roman" w:eastAsia="Times New Roman" w:cs="Times New Roman"/>
                <w:spacing w:val="-29"/>
              </w:rPr>
              <w:t xml:space="preserve"> </w:t>
            </w:r>
            <w:r>
              <w:rPr>
                <w:spacing w:val="6"/>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2001" w:type="dxa"/>
            <w:vAlign w:val="top"/>
          </w:tcPr>
          <w:p>
            <w:pPr>
              <w:spacing w:line="317" w:lineRule="auto"/>
              <w:rPr>
                <w:rFonts w:ascii="Arial"/>
                <w:sz w:val="21"/>
              </w:rPr>
            </w:pPr>
          </w:p>
          <w:p>
            <w:pPr>
              <w:spacing w:line="317" w:lineRule="auto"/>
              <w:rPr>
                <w:rFonts w:ascii="Arial"/>
                <w:sz w:val="21"/>
              </w:rPr>
            </w:pPr>
          </w:p>
          <w:p>
            <w:pPr>
              <w:pStyle w:val="6"/>
              <w:spacing w:before="65" w:line="239" w:lineRule="auto"/>
              <w:ind w:left="689" w:right="160" w:hanging="512"/>
            </w:pPr>
            <w:r>
              <w:rPr>
                <w:spacing w:val="7"/>
              </w:rPr>
              <w:t>动植物等天然原料</w:t>
            </w:r>
            <w:r>
              <w:rPr>
                <w:spacing w:val="1"/>
              </w:rPr>
              <w:t xml:space="preserve"> </w:t>
            </w:r>
            <w:r>
              <w:rPr>
                <w:spacing w:val="7"/>
              </w:rPr>
              <w:t>提取法</w:t>
            </w:r>
          </w:p>
          <w:p>
            <w:pPr>
              <w:pStyle w:val="6"/>
              <w:spacing w:before="27" w:line="223" w:lineRule="auto"/>
              <w:ind w:left="477"/>
            </w:pPr>
            <w:r>
              <w:rPr>
                <w:spacing w:val="12"/>
              </w:rPr>
              <w:t>（压榨法）</w:t>
            </w:r>
          </w:p>
        </w:tc>
        <w:tc>
          <w:tcPr>
            <w:tcW w:w="3400"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37" w:lineRule="auto"/>
              <w:ind w:left="118" w:right="101" w:firstLine="419"/>
            </w:pPr>
            <w:r>
              <w:rPr>
                <w:spacing w:val="19"/>
              </w:rPr>
              <w:t>原料验收</w:t>
            </w:r>
            <w:r>
              <w:rPr>
                <w:rFonts w:ascii="Times New Roman" w:hAnsi="Times New Roman" w:eastAsia="Times New Roman" w:cs="Times New Roman"/>
                <w:spacing w:val="19"/>
              </w:rPr>
              <w:t>-</w:t>
            </w:r>
            <w:r>
              <w:rPr>
                <w:spacing w:val="19"/>
              </w:rPr>
              <w:t>前处理</w:t>
            </w:r>
            <w:r>
              <w:rPr>
                <w:rFonts w:ascii="Times New Roman" w:hAnsi="Times New Roman" w:eastAsia="Times New Roman" w:cs="Times New Roman"/>
                <w:spacing w:val="19"/>
              </w:rPr>
              <w:t>-</w:t>
            </w:r>
            <w:r>
              <w:rPr>
                <w:spacing w:val="19"/>
              </w:rPr>
              <w:t>压榨</w:t>
            </w:r>
            <w:r>
              <w:rPr>
                <w:rFonts w:ascii="Times New Roman" w:hAnsi="Times New Roman" w:eastAsia="Times New Roman" w:cs="Times New Roman"/>
                <w:spacing w:val="19"/>
              </w:rPr>
              <w:t>-</w:t>
            </w:r>
            <w:r>
              <w:rPr>
                <w:spacing w:val="19"/>
              </w:rPr>
              <w:t>分离</w:t>
            </w:r>
            <w:r>
              <w:rPr>
                <w:rFonts w:ascii="Times New Roman" w:hAnsi="Times New Roman" w:eastAsia="Times New Roman" w:cs="Times New Roman"/>
                <w:spacing w:val="19"/>
              </w:rPr>
              <w:t>-</w:t>
            </w:r>
            <w:r>
              <w:rPr>
                <w:rFonts w:ascii="Times New Roman" w:hAnsi="Times New Roman" w:eastAsia="Times New Roman" w:cs="Times New Roman"/>
                <w:spacing w:val="3"/>
              </w:rPr>
              <w:t xml:space="preserve"> </w:t>
            </w:r>
            <w:r>
              <w:rPr>
                <w:spacing w:val="6"/>
              </w:rPr>
              <w:t>杀菌</w:t>
            </w:r>
            <w:r>
              <w:rPr>
                <w:rFonts w:ascii="Times New Roman" w:hAnsi="Times New Roman" w:eastAsia="Times New Roman" w:cs="Times New Roman"/>
                <w:spacing w:val="6"/>
              </w:rPr>
              <w:t>-</w:t>
            </w:r>
            <w:r>
              <w:rPr>
                <w:spacing w:val="6"/>
              </w:rPr>
              <w:t>干燥</w:t>
            </w:r>
            <w:r>
              <w:rPr>
                <w:rFonts w:ascii="Times New Roman" w:hAnsi="Times New Roman" w:eastAsia="Times New Roman" w:cs="Times New Roman"/>
                <w:spacing w:val="6"/>
              </w:rPr>
              <w:t>-</w:t>
            </w:r>
            <w:r>
              <w:rPr>
                <w:spacing w:val="6"/>
              </w:rPr>
              <w:t>计量</w:t>
            </w:r>
            <w:r>
              <w:rPr>
                <w:rFonts w:ascii="Times New Roman" w:hAnsi="Times New Roman" w:eastAsia="Times New Roman" w:cs="Times New Roman"/>
                <w:spacing w:val="6"/>
              </w:rPr>
              <w:t>-</w:t>
            </w:r>
            <w:r>
              <w:rPr>
                <w:spacing w:val="6"/>
              </w:rPr>
              <w:t>包装</w:t>
            </w:r>
            <w:r>
              <w:rPr>
                <w:rFonts w:ascii="Times New Roman" w:hAnsi="Times New Roman" w:eastAsia="Times New Roman" w:cs="Times New Roman"/>
                <w:spacing w:val="6"/>
              </w:rPr>
              <w:t>-</w:t>
            </w:r>
            <w:r>
              <w:rPr>
                <w:spacing w:val="6"/>
              </w:rPr>
              <w:t>成品</w:t>
            </w:r>
          </w:p>
        </w:tc>
        <w:tc>
          <w:tcPr>
            <w:tcW w:w="3219" w:type="dxa"/>
            <w:vAlign w:val="top"/>
          </w:tcPr>
          <w:p>
            <w:pPr>
              <w:pStyle w:val="6"/>
              <w:spacing w:before="110"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7" w:line="311" w:lineRule="auto"/>
              <w:ind w:left="110" w:right="492" w:firstLine="1"/>
            </w:pPr>
            <w:r>
              <w:rPr>
                <w:rFonts w:ascii="Times New Roman" w:hAnsi="Times New Roman" w:eastAsia="Times New Roman" w:cs="Times New Roman"/>
                <w:spacing w:val="4"/>
              </w:rPr>
              <w:t>2.</w:t>
            </w:r>
            <w:r>
              <w:rPr>
                <w:spacing w:val="4"/>
              </w:rPr>
              <w:t>压榨方式及相关参数控制；</w:t>
            </w:r>
            <w:r>
              <w:rPr>
                <w:spacing w:val="3"/>
              </w:rPr>
              <w:t xml:space="preserve"> </w:t>
            </w:r>
            <w:r>
              <w:rPr>
                <w:rFonts w:ascii="Times New Roman" w:hAnsi="Times New Roman" w:eastAsia="Times New Roman" w:cs="Times New Roman"/>
                <w:spacing w:val="4"/>
              </w:rPr>
              <w:t>3.</w:t>
            </w:r>
            <w:r>
              <w:rPr>
                <w:spacing w:val="4"/>
              </w:rPr>
              <w:t xml:space="preserve">分离方式及相关参数控制； </w:t>
            </w:r>
            <w:r>
              <w:rPr>
                <w:rFonts w:ascii="Times New Roman" w:hAnsi="Times New Roman" w:eastAsia="Times New Roman" w:cs="Times New Roman"/>
                <w:spacing w:val="4"/>
              </w:rPr>
              <w:t>4.</w:t>
            </w:r>
            <w:r>
              <w:rPr>
                <w:spacing w:val="4"/>
              </w:rPr>
              <w:t xml:space="preserve">杀菌方式及相关参数控制； </w:t>
            </w:r>
            <w:r>
              <w:rPr>
                <w:rFonts w:ascii="Times New Roman" w:hAnsi="Times New Roman" w:eastAsia="Times New Roman" w:cs="Times New Roman"/>
                <w:spacing w:val="4"/>
              </w:rPr>
              <w:t>5.</w:t>
            </w:r>
            <w:r>
              <w:rPr>
                <w:spacing w:val="4"/>
              </w:rPr>
              <w:t xml:space="preserve">干燥方式及相关参数控制； </w:t>
            </w:r>
            <w:r>
              <w:rPr>
                <w:rFonts w:ascii="Times New Roman" w:hAnsi="Times New Roman" w:eastAsia="Times New Roman" w:cs="Times New Roman"/>
                <w:spacing w:val="6"/>
              </w:rPr>
              <w:t>6.</w:t>
            </w:r>
            <w:r>
              <w:rPr>
                <w:rFonts w:ascii="Times New Roman" w:hAnsi="Times New Roman" w:eastAsia="Times New Roman" w:cs="Times New Roman"/>
                <w:spacing w:val="-29"/>
              </w:rPr>
              <w:t xml:space="preserve"> </w:t>
            </w:r>
            <w:r>
              <w:rPr>
                <w:spacing w:val="6"/>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001" w:type="dxa"/>
            <w:vAlign w:val="top"/>
          </w:tcPr>
          <w:p>
            <w:pPr>
              <w:pStyle w:val="6"/>
              <w:spacing w:before="166" w:line="238" w:lineRule="auto"/>
              <w:ind w:left="689" w:right="160" w:hanging="512"/>
            </w:pPr>
            <w:r>
              <w:rPr>
                <w:spacing w:val="7"/>
              </w:rPr>
              <w:t>动植物等天然原料</w:t>
            </w:r>
            <w:r>
              <w:rPr>
                <w:spacing w:val="1"/>
              </w:rPr>
              <w:t xml:space="preserve"> </w:t>
            </w:r>
            <w:r>
              <w:rPr>
                <w:spacing w:val="7"/>
              </w:rPr>
              <w:t>提取法</w:t>
            </w:r>
          </w:p>
          <w:p>
            <w:pPr>
              <w:pStyle w:val="6"/>
              <w:spacing w:before="26" w:line="228" w:lineRule="auto"/>
              <w:ind w:left="477"/>
            </w:pPr>
            <w:r>
              <w:rPr>
                <w:spacing w:val="12"/>
              </w:rPr>
              <w:t>（蒸馏法）</w:t>
            </w:r>
          </w:p>
        </w:tc>
        <w:tc>
          <w:tcPr>
            <w:tcW w:w="3400" w:type="dxa"/>
            <w:vAlign w:val="top"/>
          </w:tcPr>
          <w:p>
            <w:pPr>
              <w:pStyle w:val="6"/>
              <w:spacing w:before="300"/>
              <w:ind w:left="105" w:right="101" w:firstLine="432"/>
            </w:pPr>
            <w:r>
              <w:rPr>
                <w:spacing w:val="19"/>
              </w:rPr>
              <w:t>原料验收</w:t>
            </w:r>
            <w:r>
              <w:rPr>
                <w:rFonts w:ascii="Times New Roman" w:hAnsi="Times New Roman" w:eastAsia="Times New Roman" w:cs="Times New Roman"/>
                <w:spacing w:val="19"/>
              </w:rPr>
              <w:t>-</w:t>
            </w:r>
            <w:r>
              <w:rPr>
                <w:spacing w:val="19"/>
              </w:rPr>
              <w:t>前处理</w:t>
            </w:r>
            <w:r>
              <w:rPr>
                <w:rFonts w:ascii="Times New Roman" w:hAnsi="Times New Roman" w:eastAsia="Times New Roman" w:cs="Times New Roman"/>
                <w:spacing w:val="19"/>
              </w:rPr>
              <w:t>-</w:t>
            </w:r>
            <w:r>
              <w:rPr>
                <w:spacing w:val="19"/>
              </w:rPr>
              <w:t>蒸馏</w:t>
            </w:r>
            <w:r>
              <w:rPr>
                <w:rFonts w:ascii="Times New Roman" w:hAnsi="Times New Roman" w:eastAsia="Times New Roman" w:cs="Times New Roman"/>
                <w:spacing w:val="19"/>
              </w:rPr>
              <w:t>-</w:t>
            </w:r>
            <w:r>
              <w:rPr>
                <w:spacing w:val="19"/>
              </w:rPr>
              <w:t>计量</w:t>
            </w:r>
            <w:r>
              <w:rPr>
                <w:rFonts w:ascii="Times New Roman" w:hAnsi="Times New Roman" w:eastAsia="Times New Roman" w:cs="Times New Roman"/>
                <w:spacing w:val="19"/>
              </w:rPr>
              <w:t>-</w:t>
            </w:r>
            <w:r>
              <w:rPr>
                <w:rFonts w:ascii="Times New Roman" w:hAnsi="Times New Roman" w:eastAsia="Times New Roman" w:cs="Times New Roman"/>
                <w:spacing w:val="3"/>
              </w:rPr>
              <w:t xml:space="preserve"> </w:t>
            </w:r>
            <w:r>
              <w:rPr>
                <w:spacing w:val="7"/>
              </w:rPr>
              <w:t>包装</w:t>
            </w:r>
            <w:r>
              <w:rPr>
                <w:rFonts w:ascii="Times New Roman" w:hAnsi="Times New Roman" w:eastAsia="Times New Roman" w:cs="Times New Roman"/>
                <w:spacing w:val="7"/>
              </w:rPr>
              <w:t>-</w:t>
            </w:r>
            <w:r>
              <w:rPr>
                <w:spacing w:val="7"/>
              </w:rPr>
              <w:t>成品</w:t>
            </w:r>
          </w:p>
        </w:tc>
        <w:tc>
          <w:tcPr>
            <w:tcW w:w="3219" w:type="dxa"/>
            <w:vAlign w:val="top"/>
          </w:tcPr>
          <w:p>
            <w:pPr>
              <w:pStyle w:val="6"/>
              <w:spacing w:before="111"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8" w:line="278" w:lineRule="auto"/>
              <w:ind w:left="115" w:right="492" w:hanging="4"/>
            </w:pPr>
            <w:r>
              <w:rPr>
                <w:rFonts w:ascii="Times New Roman" w:hAnsi="Times New Roman" w:eastAsia="Times New Roman" w:cs="Times New Roman"/>
                <w:spacing w:val="4"/>
              </w:rPr>
              <w:t>2.</w:t>
            </w:r>
            <w:r>
              <w:rPr>
                <w:spacing w:val="4"/>
              </w:rPr>
              <w:t>蒸馏方式及相关参数控制；</w:t>
            </w:r>
            <w:r>
              <w:rPr>
                <w:spacing w:val="3"/>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21"/>
              </w:rPr>
              <w:t xml:space="preserve"> </w:t>
            </w:r>
            <w:r>
              <w:rPr>
                <w:spacing w:val="5"/>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2001" w:type="dxa"/>
            <w:vAlign w:val="top"/>
          </w:tcPr>
          <w:p>
            <w:pPr>
              <w:spacing w:line="279" w:lineRule="auto"/>
              <w:rPr>
                <w:rFonts w:ascii="Arial"/>
                <w:sz w:val="21"/>
              </w:rPr>
            </w:pPr>
          </w:p>
          <w:p>
            <w:pPr>
              <w:pStyle w:val="6"/>
              <w:spacing w:before="65" w:line="238" w:lineRule="auto"/>
              <w:ind w:left="689" w:right="160" w:hanging="512"/>
            </w:pPr>
            <w:r>
              <w:rPr>
                <w:spacing w:val="7"/>
              </w:rPr>
              <w:t>动植物等天然原料</w:t>
            </w:r>
            <w:r>
              <w:rPr>
                <w:spacing w:val="1"/>
              </w:rPr>
              <w:t xml:space="preserve"> </w:t>
            </w:r>
            <w:r>
              <w:rPr>
                <w:spacing w:val="7"/>
              </w:rPr>
              <w:t>提取法</w:t>
            </w:r>
          </w:p>
          <w:p>
            <w:pPr>
              <w:pStyle w:val="6"/>
              <w:spacing w:before="26" w:line="224" w:lineRule="auto"/>
              <w:ind w:left="477"/>
            </w:pPr>
            <w:r>
              <w:rPr>
                <w:spacing w:val="12"/>
              </w:rPr>
              <w:t>（粉碎法）</w:t>
            </w:r>
          </w:p>
        </w:tc>
        <w:tc>
          <w:tcPr>
            <w:tcW w:w="3400" w:type="dxa"/>
            <w:vAlign w:val="top"/>
          </w:tcPr>
          <w:p>
            <w:pPr>
              <w:spacing w:line="414" w:lineRule="auto"/>
              <w:rPr>
                <w:rFonts w:ascii="Arial"/>
                <w:sz w:val="21"/>
              </w:rPr>
            </w:pPr>
          </w:p>
          <w:p>
            <w:pPr>
              <w:pStyle w:val="6"/>
              <w:spacing w:before="65" w:line="238" w:lineRule="auto"/>
              <w:ind w:left="120" w:right="101" w:firstLine="416"/>
            </w:pPr>
            <w:r>
              <w:rPr>
                <w:spacing w:val="19"/>
              </w:rPr>
              <w:t>原料验收</w:t>
            </w:r>
            <w:r>
              <w:rPr>
                <w:rFonts w:ascii="Times New Roman" w:hAnsi="Times New Roman" w:eastAsia="Times New Roman" w:cs="Times New Roman"/>
                <w:spacing w:val="19"/>
              </w:rPr>
              <w:t>-</w:t>
            </w:r>
            <w:r>
              <w:rPr>
                <w:spacing w:val="19"/>
              </w:rPr>
              <w:t>前处理</w:t>
            </w:r>
            <w:r>
              <w:rPr>
                <w:rFonts w:ascii="Times New Roman" w:hAnsi="Times New Roman" w:eastAsia="Times New Roman" w:cs="Times New Roman"/>
                <w:spacing w:val="19"/>
              </w:rPr>
              <w:t>-</w:t>
            </w:r>
            <w:r>
              <w:rPr>
                <w:spacing w:val="19"/>
              </w:rPr>
              <w:t>粉碎</w:t>
            </w:r>
            <w:r>
              <w:rPr>
                <w:rFonts w:ascii="Times New Roman" w:hAnsi="Times New Roman" w:eastAsia="Times New Roman" w:cs="Times New Roman"/>
                <w:spacing w:val="19"/>
              </w:rPr>
              <w:t>-</w:t>
            </w:r>
            <w:r>
              <w:rPr>
                <w:spacing w:val="19"/>
              </w:rPr>
              <w:t>筛分</w:t>
            </w:r>
            <w:r>
              <w:rPr>
                <w:rFonts w:ascii="Times New Roman" w:hAnsi="Times New Roman" w:eastAsia="Times New Roman" w:cs="Times New Roman"/>
                <w:spacing w:val="19"/>
              </w:rPr>
              <w:t>-</w:t>
            </w:r>
            <w:r>
              <w:rPr>
                <w:rFonts w:ascii="Times New Roman" w:hAnsi="Times New Roman" w:eastAsia="Times New Roman" w:cs="Times New Roman"/>
                <w:spacing w:val="3"/>
              </w:rPr>
              <w:t xml:space="preserve"> </w:t>
            </w:r>
            <w:r>
              <w:rPr>
                <w:spacing w:val="6"/>
              </w:rPr>
              <w:t>干燥</w:t>
            </w:r>
            <w:r>
              <w:rPr>
                <w:rFonts w:ascii="Times New Roman" w:hAnsi="Times New Roman" w:eastAsia="Times New Roman" w:cs="Times New Roman"/>
                <w:spacing w:val="6"/>
              </w:rPr>
              <w:t>-</w:t>
            </w:r>
            <w:r>
              <w:rPr>
                <w:spacing w:val="6"/>
              </w:rPr>
              <w:t>计量</w:t>
            </w:r>
            <w:r>
              <w:rPr>
                <w:rFonts w:ascii="Times New Roman" w:hAnsi="Times New Roman" w:eastAsia="Times New Roman" w:cs="Times New Roman"/>
                <w:spacing w:val="6"/>
              </w:rPr>
              <w:t>-</w:t>
            </w:r>
            <w:r>
              <w:rPr>
                <w:spacing w:val="6"/>
              </w:rPr>
              <w:t>包装</w:t>
            </w:r>
            <w:r>
              <w:rPr>
                <w:rFonts w:ascii="Times New Roman" w:hAnsi="Times New Roman" w:eastAsia="Times New Roman" w:cs="Times New Roman"/>
                <w:spacing w:val="6"/>
              </w:rPr>
              <w:t>-</w:t>
            </w:r>
            <w:r>
              <w:rPr>
                <w:spacing w:val="6"/>
              </w:rPr>
              <w:t>成品</w:t>
            </w:r>
          </w:p>
        </w:tc>
        <w:tc>
          <w:tcPr>
            <w:tcW w:w="3219" w:type="dxa"/>
            <w:vAlign w:val="top"/>
          </w:tcPr>
          <w:p>
            <w:pPr>
              <w:pStyle w:val="6"/>
              <w:spacing w:before="111"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8" w:line="296" w:lineRule="auto"/>
              <w:ind w:left="110" w:right="492" w:firstLine="1"/>
            </w:pPr>
            <w:r>
              <w:rPr>
                <w:rFonts w:ascii="Times New Roman" w:hAnsi="Times New Roman" w:eastAsia="Times New Roman" w:cs="Times New Roman"/>
                <w:spacing w:val="4"/>
              </w:rPr>
              <w:t>2.</w:t>
            </w:r>
            <w:r>
              <w:rPr>
                <w:spacing w:val="4"/>
              </w:rPr>
              <w:t>粉碎方式及相关参数控制；</w:t>
            </w:r>
            <w:r>
              <w:rPr>
                <w:spacing w:val="3"/>
              </w:rPr>
              <w:t xml:space="preserve"> </w:t>
            </w:r>
            <w:r>
              <w:rPr>
                <w:rFonts w:ascii="Times New Roman" w:hAnsi="Times New Roman" w:eastAsia="Times New Roman" w:cs="Times New Roman"/>
                <w:spacing w:val="4"/>
              </w:rPr>
              <w:t>3.</w:t>
            </w:r>
            <w:r>
              <w:rPr>
                <w:spacing w:val="4"/>
              </w:rPr>
              <w:t xml:space="preserve">干燥方式及相关参数控制； </w:t>
            </w:r>
            <w:r>
              <w:rPr>
                <w:rFonts w:ascii="Times New Roman" w:hAnsi="Times New Roman" w:eastAsia="Times New Roman" w:cs="Times New Roman"/>
                <w:spacing w:val="6"/>
              </w:rPr>
              <w:t>4.</w:t>
            </w:r>
            <w:r>
              <w:rPr>
                <w:rFonts w:ascii="Times New Roman" w:hAnsi="Times New Roman" w:eastAsia="Times New Roman" w:cs="Times New Roman"/>
                <w:spacing w:val="-29"/>
              </w:rPr>
              <w:t xml:space="preserve"> </w:t>
            </w:r>
            <w:r>
              <w:rPr>
                <w:spacing w:val="6"/>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2001" w:type="dxa"/>
            <w:vAlign w:val="top"/>
          </w:tcPr>
          <w:p>
            <w:pPr>
              <w:spacing w:line="459" w:lineRule="auto"/>
              <w:rPr>
                <w:rFonts w:ascii="Arial"/>
                <w:sz w:val="21"/>
              </w:rPr>
            </w:pPr>
          </w:p>
          <w:p>
            <w:pPr>
              <w:pStyle w:val="6"/>
              <w:spacing w:before="65" w:line="238" w:lineRule="auto"/>
              <w:ind w:left="689" w:right="160" w:hanging="512"/>
            </w:pPr>
            <w:r>
              <w:rPr>
                <w:spacing w:val="7"/>
              </w:rPr>
              <w:t>动植物等天然原料</w:t>
            </w:r>
            <w:r>
              <w:rPr>
                <w:spacing w:val="1"/>
              </w:rPr>
              <w:t xml:space="preserve"> </w:t>
            </w:r>
            <w:r>
              <w:rPr>
                <w:spacing w:val="7"/>
              </w:rPr>
              <w:t>提取法</w:t>
            </w:r>
          </w:p>
          <w:p>
            <w:pPr>
              <w:pStyle w:val="6"/>
              <w:spacing w:before="29" w:line="225" w:lineRule="auto"/>
              <w:ind w:left="477"/>
            </w:pPr>
            <w:r>
              <w:rPr>
                <w:spacing w:val="12"/>
              </w:rPr>
              <w:t>（提取法）</w:t>
            </w:r>
          </w:p>
        </w:tc>
        <w:tc>
          <w:tcPr>
            <w:tcW w:w="3400" w:type="dxa"/>
            <w:vAlign w:val="top"/>
          </w:tcPr>
          <w:p>
            <w:pPr>
              <w:spacing w:line="297" w:lineRule="auto"/>
              <w:rPr>
                <w:rFonts w:ascii="Arial"/>
                <w:sz w:val="21"/>
              </w:rPr>
            </w:pPr>
          </w:p>
          <w:p>
            <w:pPr>
              <w:spacing w:line="298" w:lineRule="auto"/>
              <w:rPr>
                <w:rFonts w:ascii="Arial"/>
                <w:sz w:val="21"/>
              </w:rPr>
            </w:pPr>
          </w:p>
          <w:p>
            <w:pPr>
              <w:pStyle w:val="6"/>
              <w:spacing w:before="65" w:line="237" w:lineRule="auto"/>
              <w:ind w:left="122" w:right="101" w:firstLine="414"/>
            </w:pPr>
            <w:r>
              <w:rPr>
                <w:spacing w:val="19"/>
              </w:rPr>
              <w:t>原料验收</w:t>
            </w:r>
            <w:r>
              <w:rPr>
                <w:rFonts w:ascii="Times New Roman" w:hAnsi="Times New Roman" w:eastAsia="Times New Roman" w:cs="Times New Roman"/>
                <w:spacing w:val="19"/>
              </w:rPr>
              <w:t>-</w:t>
            </w:r>
            <w:r>
              <w:rPr>
                <w:spacing w:val="19"/>
              </w:rPr>
              <w:t>前处理</w:t>
            </w:r>
            <w:r>
              <w:rPr>
                <w:rFonts w:ascii="Times New Roman" w:hAnsi="Times New Roman" w:eastAsia="Times New Roman" w:cs="Times New Roman"/>
                <w:spacing w:val="19"/>
              </w:rPr>
              <w:t>-</w:t>
            </w:r>
            <w:r>
              <w:rPr>
                <w:spacing w:val="19"/>
              </w:rPr>
              <w:t>提取</w:t>
            </w:r>
            <w:r>
              <w:rPr>
                <w:rFonts w:ascii="Times New Roman" w:hAnsi="Times New Roman" w:eastAsia="Times New Roman" w:cs="Times New Roman"/>
                <w:spacing w:val="19"/>
              </w:rPr>
              <w:t>-</w:t>
            </w:r>
            <w:r>
              <w:rPr>
                <w:spacing w:val="19"/>
              </w:rPr>
              <w:t>分离</w:t>
            </w:r>
            <w:r>
              <w:rPr>
                <w:rFonts w:ascii="Times New Roman" w:hAnsi="Times New Roman" w:eastAsia="Times New Roman" w:cs="Times New Roman"/>
                <w:spacing w:val="19"/>
              </w:rPr>
              <w:t>-</w:t>
            </w:r>
            <w:r>
              <w:rPr>
                <w:rFonts w:ascii="Times New Roman" w:hAnsi="Times New Roman" w:eastAsia="Times New Roman" w:cs="Times New Roman"/>
                <w:spacing w:val="3"/>
              </w:rPr>
              <w:t xml:space="preserve"> </w:t>
            </w:r>
            <w:r>
              <w:rPr>
                <w:spacing w:val="6"/>
              </w:rPr>
              <w:t>浓缩</w:t>
            </w:r>
            <w:r>
              <w:rPr>
                <w:rFonts w:ascii="Times New Roman" w:hAnsi="Times New Roman" w:eastAsia="Times New Roman" w:cs="Times New Roman"/>
                <w:spacing w:val="6"/>
              </w:rPr>
              <w:t>-</w:t>
            </w:r>
            <w:r>
              <w:rPr>
                <w:spacing w:val="6"/>
              </w:rPr>
              <w:t>干燥</w:t>
            </w:r>
            <w:r>
              <w:rPr>
                <w:rFonts w:ascii="Times New Roman" w:hAnsi="Times New Roman" w:eastAsia="Times New Roman" w:cs="Times New Roman"/>
                <w:spacing w:val="6"/>
              </w:rPr>
              <w:t>-</w:t>
            </w:r>
            <w:r>
              <w:rPr>
                <w:spacing w:val="6"/>
              </w:rPr>
              <w:t>计量</w:t>
            </w:r>
            <w:r>
              <w:rPr>
                <w:rFonts w:ascii="Times New Roman" w:hAnsi="Times New Roman" w:eastAsia="Times New Roman" w:cs="Times New Roman"/>
                <w:spacing w:val="6"/>
              </w:rPr>
              <w:t>-</w:t>
            </w:r>
            <w:r>
              <w:rPr>
                <w:spacing w:val="6"/>
              </w:rPr>
              <w:t>包装</w:t>
            </w:r>
            <w:r>
              <w:rPr>
                <w:rFonts w:ascii="Times New Roman" w:hAnsi="Times New Roman" w:eastAsia="Times New Roman" w:cs="Times New Roman"/>
                <w:spacing w:val="6"/>
              </w:rPr>
              <w:t>-</w:t>
            </w:r>
            <w:r>
              <w:rPr>
                <w:spacing w:val="6"/>
              </w:rPr>
              <w:t>成品</w:t>
            </w:r>
          </w:p>
        </w:tc>
        <w:tc>
          <w:tcPr>
            <w:tcW w:w="3219" w:type="dxa"/>
            <w:vAlign w:val="top"/>
          </w:tcPr>
          <w:p>
            <w:pPr>
              <w:pStyle w:val="6"/>
              <w:spacing w:before="112"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8" w:line="305" w:lineRule="auto"/>
              <w:ind w:left="110" w:right="492" w:firstLine="1"/>
            </w:pPr>
            <w:r>
              <w:rPr>
                <w:rFonts w:ascii="Times New Roman" w:hAnsi="Times New Roman" w:eastAsia="Times New Roman" w:cs="Times New Roman"/>
                <w:spacing w:val="4"/>
              </w:rPr>
              <w:t>2.</w:t>
            </w:r>
            <w:r>
              <w:rPr>
                <w:spacing w:val="4"/>
              </w:rPr>
              <w:t>提取方式及相关参数控制；</w:t>
            </w:r>
            <w:r>
              <w:rPr>
                <w:spacing w:val="3"/>
              </w:rPr>
              <w:t xml:space="preserve"> </w:t>
            </w:r>
            <w:r>
              <w:rPr>
                <w:rFonts w:ascii="Times New Roman" w:hAnsi="Times New Roman" w:eastAsia="Times New Roman" w:cs="Times New Roman"/>
                <w:spacing w:val="4"/>
              </w:rPr>
              <w:t>3.</w:t>
            </w:r>
            <w:r>
              <w:rPr>
                <w:spacing w:val="4"/>
              </w:rPr>
              <w:t xml:space="preserve">分离方式及相关参数控制； </w:t>
            </w:r>
            <w:r>
              <w:rPr>
                <w:rFonts w:ascii="Times New Roman" w:hAnsi="Times New Roman" w:eastAsia="Times New Roman" w:cs="Times New Roman"/>
                <w:spacing w:val="4"/>
              </w:rPr>
              <w:t>4.</w:t>
            </w:r>
            <w:r>
              <w:rPr>
                <w:spacing w:val="4"/>
              </w:rPr>
              <w:t xml:space="preserve">干燥方式及相关参数控制； </w:t>
            </w:r>
            <w:r>
              <w:rPr>
                <w:rFonts w:ascii="Times New Roman" w:hAnsi="Times New Roman" w:eastAsia="Times New Roman" w:cs="Times New Roman"/>
                <w:spacing w:val="6"/>
              </w:rPr>
              <w:t>5.</w:t>
            </w:r>
            <w:r>
              <w:rPr>
                <w:rFonts w:ascii="Times New Roman" w:hAnsi="Times New Roman" w:eastAsia="Times New Roman" w:cs="Times New Roman"/>
                <w:spacing w:val="-29"/>
              </w:rPr>
              <w:t xml:space="preserve"> </w:t>
            </w:r>
            <w:r>
              <w:rPr>
                <w:spacing w:val="6"/>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2001"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65" w:line="239" w:lineRule="auto"/>
              <w:ind w:left="477" w:right="474" w:firstLine="16"/>
            </w:pPr>
            <w:r>
              <w:rPr>
                <w:spacing w:val="5"/>
              </w:rPr>
              <w:t>生物发酵法</w:t>
            </w:r>
            <w:r>
              <w:rPr>
                <w:spacing w:val="1"/>
              </w:rPr>
              <w:t xml:space="preserve"> </w:t>
            </w:r>
            <w:r>
              <w:rPr>
                <w:spacing w:val="7"/>
              </w:rPr>
              <w:t>（发酵法）</w:t>
            </w:r>
          </w:p>
        </w:tc>
        <w:tc>
          <w:tcPr>
            <w:tcW w:w="3400"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247" w:lineRule="auto"/>
              <w:ind w:left="113" w:right="99" w:firstLine="423"/>
              <w:jc w:val="both"/>
            </w:pPr>
            <w:r>
              <w:rPr>
                <w:spacing w:val="19"/>
              </w:rPr>
              <w:t>原料验收</w:t>
            </w:r>
            <w:r>
              <w:rPr>
                <w:rFonts w:ascii="Times New Roman" w:hAnsi="Times New Roman" w:eastAsia="Times New Roman" w:cs="Times New Roman"/>
                <w:spacing w:val="19"/>
              </w:rPr>
              <w:t>-</w:t>
            </w:r>
            <w:r>
              <w:rPr>
                <w:spacing w:val="19"/>
              </w:rPr>
              <w:t>前处理</w:t>
            </w:r>
            <w:r>
              <w:rPr>
                <w:rFonts w:ascii="Times New Roman" w:hAnsi="Times New Roman" w:eastAsia="Times New Roman" w:cs="Times New Roman"/>
                <w:spacing w:val="19"/>
              </w:rPr>
              <w:t>-</w:t>
            </w:r>
            <w:r>
              <w:rPr>
                <w:spacing w:val="19"/>
              </w:rPr>
              <w:t>发酵</w:t>
            </w:r>
            <w:r>
              <w:rPr>
                <w:rFonts w:ascii="Times New Roman" w:hAnsi="Times New Roman" w:eastAsia="Times New Roman" w:cs="Times New Roman"/>
                <w:spacing w:val="19"/>
              </w:rPr>
              <w:t>-</w:t>
            </w:r>
            <w:r>
              <w:rPr>
                <w:spacing w:val="19"/>
              </w:rPr>
              <w:t>杀菌</w:t>
            </w:r>
            <w:r>
              <w:rPr>
                <w:rFonts w:ascii="Times New Roman" w:hAnsi="Times New Roman" w:eastAsia="Times New Roman" w:cs="Times New Roman"/>
                <w:spacing w:val="19"/>
              </w:rPr>
              <w:t>-</w:t>
            </w:r>
            <w:r>
              <w:rPr>
                <w:rFonts w:ascii="Times New Roman" w:hAnsi="Times New Roman" w:eastAsia="Times New Roman" w:cs="Times New Roman"/>
                <w:spacing w:val="3"/>
              </w:rPr>
              <w:t xml:space="preserve"> </w:t>
            </w:r>
            <w:r>
              <w:rPr>
                <w:spacing w:val="9"/>
              </w:rPr>
              <w:t>分离</w:t>
            </w:r>
            <w:r>
              <w:rPr>
                <w:rFonts w:ascii="Times New Roman" w:hAnsi="Times New Roman" w:eastAsia="Times New Roman" w:cs="Times New Roman"/>
                <w:spacing w:val="9"/>
              </w:rPr>
              <w:t>-</w:t>
            </w:r>
            <w:r>
              <w:rPr>
                <w:spacing w:val="9"/>
              </w:rPr>
              <w:t>结晶</w:t>
            </w:r>
            <w:r>
              <w:rPr>
                <w:rFonts w:ascii="Times New Roman" w:hAnsi="Times New Roman" w:eastAsia="Times New Roman" w:cs="Times New Roman"/>
                <w:spacing w:val="9"/>
              </w:rPr>
              <w:t>-</w:t>
            </w:r>
            <w:r>
              <w:rPr>
                <w:spacing w:val="9"/>
              </w:rPr>
              <w:t>浓缩</w:t>
            </w:r>
            <w:r>
              <w:rPr>
                <w:rFonts w:ascii="Times New Roman" w:hAnsi="Times New Roman" w:eastAsia="Times New Roman" w:cs="Times New Roman"/>
                <w:spacing w:val="9"/>
              </w:rPr>
              <w:t>-</w:t>
            </w:r>
            <w:r>
              <w:rPr>
                <w:spacing w:val="9"/>
              </w:rPr>
              <w:t>干燥</w:t>
            </w:r>
            <w:r>
              <w:rPr>
                <w:rFonts w:ascii="Times New Roman" w:hAnsi="Times New Roman" w:eastAsia="Times New Roman" w:cs="Times New Roman"/>
                <w:spacing w:val="9"/>
              </w:rPr>
              <w:t>-</w:t>
            </w:r>
            <w:r>
              <w:rPr>
                <w:spacing w:val="9"/>
              </w:rPr>
              <w:t>计量</w:t>
            </w:r>
            <w:r>
              <w:rPr>
                <w:rFonts w:ascii="Times New Roman" w:hAnsi="Times New Roman" w:eastAsia="Times New Roman" w:cs="Times New Roman"/>
                <w:spacing w:val="9"/>
              </w:rPr>
              <w:t>-</w:t>
            </w:r>
            <w:r>
              <w:rPr>
                <w:spacing w:val="9"/>
              </w:rPr>
              <w:t>包装</w:t>
            </w:r>
            <w:r>
              <w:rPr>
                <w:rFonts w:ascii="Times New Roman" w:hAnsi="Times New Roman" w:eastAsia="Times New Roman" w:cs="Times New Roman"/>
                <w:spacing w:val="9"/>
              </w:rPr>
              <w:t>-</w:t>
            </w:r>
            <w:r>
              <w:rPr>
                <w:spacing w:val="9"/>
              </w:rPr>
              <w:t>成</w:t>
            </w:r>
            <w:r>
              <w:rPr>
                <w:spacing w:val="10"/>
              </w:rPr>
              <w:t xml:space="preserve"> </w:t>
            </w:r>
            <w:r>
              <w:t>品</w:t>
            </w:r>
          </w:p>
        </w:tc>
        <w:tc>
          <w:tcPr>
            <w:tcW w:w="3219" w:type="dxa"/>
            <w:vAlign w:val="top"/>
          </w:tcPr>
          <w:p>
            <w:pPr>
              <w:pStyle w:val="6"/>
              <w:spacing w:before="115" w:line="316" w:lineRule="auto"/>
              <w:ind w:left="111" w:right="912" w:firstLine="20"/>
            </w:pPr>
            <w:r>
              <w:rPr>
                <w:rFonts w:ascii="Times New Roman" w:hAnsi="Times New Roman" w:eastAsia="Times New Roman" w:cs="Times New Roman"/>
                <w:spacing w:val="1"/>
              </w:rPr>
              <w:t>1.</w:t>
            </w:r>
            <w:r>
              <w:rPr>
                <w:spacing w:val="1"/>
              </w:rPr>
              <w:t>原料的质量安全控制；</w:t>
            </w:r>
            <w:r>
              <w:rPr>
                <w:spacing w:val="7"/>
              </w:rPr>
              <w:t xml:space="preserve"> </w:t>
            </w:r>
            <w:r>
              <w:rPr>
                <w:rFonts w:ascii="Times New Roman" w:hAnsi="Times New Roman" w:eastAsia="Times New Roman" w:cs="Times New Roman"/>
                <w:spacing w:val="3"/>
              </w:rPr>
              <w:t>2.</w:t>
            </w:r>
            <w:r>
              <w:rPr>
                <w:spacing w:val="3"/>
              </w:rPr>
              <w:t>配料过程中投料控制；</w:t>
            </w:r>
          </w:p>
          <w:p>
            <w:pPr>
              <w:pStyle w:val="6"/>
              <w:spacing w:before="37" w:line="310" w:lineRule="auto"/>
              <w:ind w:left="110" w:right="492" w:firstLine="5"/>
              <w:jc w:val="both"/>
            </w:pPr>
            <w:r>
              <w:rPr>
                <w:rFonts w:ascii="Times New Roman" w:hAnsi="Times New Roman" w:eastAsia="Times New Roman" w:cs="Times New Roman"/>
                <w:spacing w:val="3"/>
              </w:rPr>
              <w:t>3.</w:t>
            </w:r>
            <w:r>
              <w:rPr>
                <w:spacing w:val="3"/>
              </w:rPr>
              <w:t>发酵方式及相关参数控制；</w:t>
            </w:r>
            <w:r>
              <w:rPr>
                <w:spacing w:val="12"/>
              </w:rPr>
              <w:t xml:space="preserve"> </w:t>
            </w:r>
            <w:r>
              <w:rPr>
                <w:rFonts w:ascii="Times New Roman" w:hAnsi="Times New Roman" w:eastAsia="Times New Roman" w:cs="Times New Roman"/>
                <w:spacing w:val="4"/>
              </w:rPr>
              <w:t>4.</w:t>
            </w:r>
            <w:r>
              <w:rPr>
                <w:spacing w:val="4"/>
              </w:rPr>
              <w:t xml:space="preserve">分离方式及相关参数控制； </w:t>
            </w:r>
            <w:r>
              <w:rPr>
                <w:rFonts w:ascii="Times New Roman" w:hAnsi="Times New Roman" w:eastAsia="Times New Roman" w:cs="Times New Roman"/>
                <w:spacing w:val="4"/>
              </w:rPr>
              <w:t>5.</w:t>
            </w:r>
            <w:r>
              <w:rPr>
                <w:spacing w:val="4"/>
              </w:rPr>
              <w:t xml:space="preserve">浓缩方式及相关参数控制； </w:t>
            </w:r>
            <w:r>
              <w:rPr>
                <w:rFonts w:ascii="Times New Roman" w:hAnsi="Times New Roman" w:eastAsia="Times New Roman" w:cs="Times New Roman"/>
                <w:spacing w:val="4"/>
              </w:rPr>
              <w:t>6.</w:t>
            </w:r>
            <w:r>
              <w:rPr>
                <w:spacing w:val="4"/>
              </w:rPr>
              <w:t xml:space="preserve">干燥方式及相关参数控制； </w:t>
            </w:r>
            <w:r>
              <w:rPr>
                <w:rFonts w:ascii="Times New Roman" w:hAnsi="Times New Roman" w:eastAsia="Times New Roman" w:cs="Times New Roman"/>
                <w:spacing w:val="6"/>
              </w:rPr>
              <w:t>7.</w:t>
            </w:r>
            <w:r>
              <w:rPr>
                <w:rFonts w:ascii="Times New Roman" w:hAnsi="Times New Roman" w:eastAsia="Times New Roman" w:cs="Times New Roman"/>
                <w:spacing w:val="-29"/>
              </w:rPr>
              <w:t xml:space="preserve"> </w:t>
            </w:r>
            <w:r>
              <w:rPr>
                <w:spacing w:val="6"/>
              </w:rPr>
              <w:t>生产过程中的异物控制。</w:t>
            </w:r>
          </w:p>
        </w:tc>
      </w:tr>
    </w:tbl>
    <w:p>
      <w:pPr>
        <w:rPr>
          <w:rFonts w:ascii="Arial"/>
          <w:sz w:val="21"/>
        </w:rPr>
      </w:pPr>
    </w:p>
    <w:p>
      <w:pPr>
        <w:rPr>
          <w:rFonts w:ascii="Arial" w:hAnsi="Arial" w:eastAsia="Arial" w:cs="Arial"/>
          <w:sz w:val="21"/>
          <w:szCs w:val="21"/>
        </w:rPr>
        <w:sectPr>
          <w:footerReference r:id="rId15" w:type="default"/>
          <w:pgSz w:w="12240" w:h="15840"/>
          <w:pgMar w:top="1346" w:right="1807" w:bottom="895" w:left="1807" w:header="0" w:footer="724" w:gutter="0"/>
          <w:cols w:space="720" w:num="1"/>
        </w:sectPr>
      </w:pPr>
    </w:p>
    <w:p>
      <w:pPr>
        <w:spacing w:line="93" w:lineRule="exact"/>
      </w:pPr>
    </w:p>
    <w:tbl>
      <w:tblPr>
        <w:tblStyle w:val="5"/>
        <w:tblW w:w="8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3400"/>
        <w:gridCol w:w="3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001" w:type="dxa"/>
            <w:vAlign w:val="top"/>
          </w:tcPr>
          <w:p>
            <w:pPr>
              <w:spacing w:before="83" w:line="208" w:lineRule="auto"/>
              <w:ind w:left="447"/>
              <w:rPr>
                <w:rFonts w:ascii="黑体" w:hAnsi="黑体" w:eastAsia="黑体" w:cs="黑体"/>
                <w:sz w:val="28"/>
                <w:szCs w:val="28"/>
              </w:rPr>
            </w:pPr>
            <w:r>
              <w:rPr>
                <w:rFonts w:ascii="黑体" w:hAnsi="黑体" w:eastAsia="黑体" w:cs="黑体"/>
                <w:spacing w:val="-2"/>
                <w:sz w:val="28"/>
                <w:szCs w:val="28"/>
              </w:rPr>
              <w:t>生产形式</w:t>
            </w:r>
          </w:p>
        </w:tc>
        <w:tc>
          <w:tcPr>
            <w:tcW w:w="3400" w:type="dxa"/>
            <w:vAlign w:val="top"/>
          </w:tcPr>
          <w:p>
            <w:pPr>
              <w:spacing w:before="83" w:line="208" w:lineRule="auto"/>
              <w:ind w:left="687"/>
              <w:rPr>
                <w:rFonts w:ascii="黑体" w:hAnsi="黑体" w:eastAsia="黑体" w:cs="黑体"/>
                <w:sz w:val="28"/>
                <w:szCs w:val="28"/>
              </w:rPr>
            </w:pPr>
            <w:r>
              <w:rPr>
                <w:rFonts w:ascii="黑体" w:hAnsi="黑体" w:eastAsia="黑体" w:cs="黑体"/>
                <w:spacing w:val="-4"/>
                <w:sz w:val="28"/>
                <w:szCs w:val="28"/>
              </w:rPr>
              <w:t>常规工艺流程</w:t>
            </w:r>
          </w:p>
        </w:tc>
        <w:tc>
          <w:tcPr>
            <w:tcW w:w="3219" w:type="dxa"/>
            <w:vAlign w:val="top"/>
          </w:tcPr>
          <w:p>
            <w:pPr>
              <w:spacing w:before="83" w:line="208" w:lineRule="auto"/>
              <w:ind w:left="788"/>
              <w:rPr>
                <w:rFonts w:ascii="黑体" w:hAnsi="黑体" w:eastAsia="黑体" w:cs="黑体"/>
                <w:sz w:val="28"/>
                <w:szCs w:val="28"/>
              </w:rPr>
            </w:pPr>
            <w:r>
              <w:rPr>
                <w:rFonts w:ascii="黑体" w:hAnsi="黑体" w:eastAsia="黑体" w:cs="黑体"/>
                <w:spacing w:val="-4"/>
                <w:sz w:val="28"/>
                <w:szCs w:val="28"/>
              </w:rPr>
              <w:t>关键控制环节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2001"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6"/>
              <w:spacing w:before="65" w:line="239" w:lineRule="auto"/>
              <w:ind w:left="581" w:right="474" w:hanging="88"/>
            </w:pPr>
            <w:r>
              <w:rPr>
                <w:spacing w:val="5"/>
              </w:rPr>
              <w:t>生物发酵法</w:t>
            </w:r>
            <w:r>
              <w:rPr>
                <w:spacing w:val="1"/>
              </w:rPr>
              <w:t xml:space="preserve"> </w:t>
            </w:r>
            <w:r>
              <w:rPr>
                <w:spacing w:val="13"/>
              </w:rPr>
              <w:t>（酶法）</w:t>
            </w:r>
          </w:p>
        </w:tc>
        <w:tc>
          <w:tcPr>
            <w:tcW w:w="3400"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5" w:line="243" w:lineRule="auto"/>
              <w:ind w:left="112" w:right="99" w:firstLine="425"/>
              <w:jc w:val="both"/>
            </w:pPr>
            <w:r>
              <w:rPr>
                <w:spacing w:val="10"/>
              </w:rPr>
              <w:t>原料验收</w:t>
            </w:r>
            <w:r>
              <w:rPr>
                <w:rFonts w:ascii="Times New Roman" w:hAnsi="Times New Roman" w:eastAsia="Times New Roman" w:cs="Times New Roman"/>
                <w:spacing w:val="10"/>
              </w:rPr>
              <w:t>-</w:t>
            </w:r>
            <w:r>
              <w:rPr>
                <w:spacing w:val="10"/>
              </w:rPr>
              <w:t>前处理</w:t>
            </w:r>
            <w:r>
              <w:rPr>
                <w:rFonts w:ascii="Times New Roman" w:hAnsi="Times New Roman" w:eastAsia="Times New Roman" w:cs="Times New Roman"/>
                <w:spacing w:val="10"/>
              </w:rPr>
              <w:t>-</w:t>
            </w:r>
            <w:r>
              <w:rPr>
                <w:spacing w:val="10"/>
              </w:rPr>
              <w:t>酶反应</w:t>
            </w:r>
            <w:r>
              <w:rPr>
                <w:rFonts w:ascii="Times New Roman" w:hAnsi="Times New Roman" w:eastAsia="Times New Roman" w:cs="Times New Roman"/>
                <w:spacing w:val="10"/>
              </w:rPr>
              <w:t>-</w:t>
            </w:r>
            <w:r>
              <w:rPr>
                <w:spacing w:val="10"/>
              </w:rPr>
              <w:t>杀菌</w:t>
            </w:r>
            <w:r>
              <w:rPr>
                <w:spacing w:val="5"/>
              </w:rPr>
              <w:t xml:space="preserve"> </w:t>
            </w:r>
            <w:r>
              <w:rPr>
                <w:rFonts w:ascii="Times New Roman" w:hAnsi="Times New Roman" w:eastAsia="Times New Roman" w:cs="Times New Roman"/>
                <w:spacing w:val="16"/>
              </w:rPr>
              <w:t>-</w:t>
            </w:r>
            <w:r>
              <w:rPr>
                <w:spacing w:val="16"/>
              </w:rPr>
              <w:t>分离</w:t>
            </w:r>
            <w:r>
              <w:rPr>
                <w:rFonts w:ascii="Times New Roman" w:hAnsi="Times New Roman" w:eastAsia="Times New Roman" w:cs="Times New Roman"/>
                <w:spacing w:val="16"/>
              </w:rPr>
              <w:t>-</w:t>
            </w:r>
            <w:r>
              <w:rPr>
                <w:spacing w:val="16"/>
              </w:rPr>
              <w:t>结晶</w:t>
            </w:r>
            <w:r>
              <w:rPr>
                <w:rFonts w:ascii="Times New Roman" w:hAnsi="Times New Roman" w:eastAsia="Times New Roman" w:cs="Times New Roman"/>
                <w:spacing w:val="16"/>
              </w:rPr>
              <w:t>-</w:t>
            </w:r>
            <w:r>
              <w:rPr>
                <w:spacing w:val="16"/>
              </w:rPr>
              <w:t>浓缩</w:t>
            </w:r>
            <w:r>
              <w:rPr>
                <w:rFonts w:ascii="Times New Roman" w:hAnsi="Times New Roman" w:eastAsia="Times New Roman" w:cs="Times New Roman"/>
                <w:spacing w:val="16"/>
              </w:rPr>
              <w:t>-</w:t>
            </w:r>
            <w:r>
              <w:rPr>
                <w:spacing w:val="16"/>
              </w:rPr>
              <w:t>干燥</w:t>
            </w:r>
            <w:r>
              <w:rPr>
                <w:rFonts w:ascii="Times New Roman" w:hAnsi="Times New Roman" w:eastAsia="Times New Roman" w:cs="Times New Roman"/>
                <w:spacing w:val="16"/>
              </w:rPr>
              <w:t>-</w:t>
            </w:r>
            <w:r>
              <w:rPr>
                <w:spacing w:val="16"/>
              </w:rPr>
              <w:t>计量</w:t>
            </w:r>
            <w:r>
              <w:rPr>
                <w:rFonts w:ascii="Times New Roman" w:hAnsi="Times New Roman" w:eastAsia="Times New Roman" w:cs="Times New Roman"/>
                <w:spacing w:val="16"/>
              </w:rPr>
              <w:t>-</w:t>
            </w:r>
            <w:r>
              <w:rPr>
                <w:spacing w:val="16"/>
              </w:rPr>
              <w:t>包装</w:t>
            </w:r>
            <w:r>
              <w:rPr>
                <w:rFonts w:ascii="Times New Roman" w:hAnsi="Times New Roman" w:eastAsia="Times New Roman" w:cs="Times New Roman"/>
                <w:spacing w:val="16"/>
              </w:rPr>
              <w:t>-</w:t>
            </w:r>
            <w:r>
              <w:rPr>
                <w:rFonts w:ascii="Times New Roman" w:hAnsi="Times New Roman" w:eastAsia="Times New Roman" w:cs="Times New Roman"/>
                <w:spacing w:val="12"/>
              </w:rPr>
              <w:t xml:space="preserve"> </w:t>
            </w:r>
            <w:r>
              <w:rPr>
                <w:spacing w:val="4"/>
              </w:rPr>
              <w:t>成品</w:t>
            </w:r>
          </w:p>
        </w:tc>
        <w:tc>
          <w:tcPr>
            <w:tcW w:w="3219" w:type="dxa"/>
            <w:vAlign w:val="top"/>
          </w:tcPr>
          <w:p>
            <w:pPr>
              <w:pStyle w:val="6"/>
              <w:spacing w:before="111"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7" w:line="317" w:lineRule="auto"/>
              <w:ind w:left="115" w:right="281" w:hanging="4"/>
            </w:pPr>
            <w:r>
              <w:rPr>
                <w:rFonts w:ascii="Times New Roman" w:hAnsi="Times New Roman" w:eastAsia="Times New Roman" w:cs="Times New Roman"/>
                <w:spacing w:val="4"/>
              </w:rPr>
              <w:t>2.</w:t>
            </w:r>
            <w:r>
              <w:rPr>
                <w:spacing w:val="4"/>
              </w:rPr>
              <w:t>酶反应方式及相关参数控制；</w:t>
            </w:r>
            <w:r>
              <w:rPr>
                <w:spacing w:val="10"/>
              </w:rPr>
              <w:t xml:space="preserve"> </w:t>
            </w:r>
            <w:r>
              <w:rPr>
                <w:rFonts w:ascii="Times New Roman" w:hAnsi="Times New Roman" w:eastAsia="Times New Roman" w:cs="Times New Roman"/>
                <w:spacing w:val="7"/>
              </w:rPr>
              <w:t>3.</w:t>
            </w:r>
            <w:r>
              <w:rPr>
                <w:spacing w:val="7"/>
              </w:rPr>
              <w:t>杀菌方式及相关参数控制；</w:t>
            </w:r>
          </w:p>
          <w:p>
            <w:pPr>
              <w:pStyle w:val="6"/>
              <w:spacing w:before="33" w:line="305" w:lineRule="auto"/>
              <w:ind w:left="114" w:right="492" w:hanging="4"/>
            </w:pPr>
            <w:r>
              <w:rPr>
                <w:rFonts w:ascii="Times New Roman" w:hAnsi="Times New Roman" w:eastAsia="Times New Roman" w:cs="Times New Roman"/>
                <w:spacing w:val="4"/>
              </w:rPr>
              <w:t>4.</w:t>
            </w:r>
            <w:r>
              <w:rPr>
                <w:spacing w:val="4"/>
              </w:rPr>
              <w:t xml:space="preserve">分离方式及相关参数控制； </w:t>
            </w:r>
            <w:r>
              <w:rPr>
                <w:rFonts w:ascii="Times New Roman" w:hAnsi="Times New Roman" w:eastAsia="Times New Roman" w:cs="Times New Roman"/>
                <w:spacing w:val="4"/>
              </w:rPr>
              <w:t>5.</w:t>
            </w:r>
            <w:r>
              <w:rPr>
                <w:spacing w:val="4"/>
              </w:rPr>
              <w:t>浓缩方式及相关参数控制；</w:t>
            </w:r>
            <w:r>
              <w:t xml:space="preserve"> </w:t>
            </w:r>
            <w:r>
              <w:rPr>
                <w:rFonts w:ascii="Times New Roman" w:hAnsi="Times New Roman" w:eastAsia="Times New Roman" w:cs="Times New Roman"/>
                <w:spacing w:val="4"/>
              </w:rPr>
              <w:t>6.</w:t>
            </w:r>
            <w:r>
              <w:rPr>
                <w:spacing w:val="4"/>
              </w:rPr>
              <w:t>干燥方式及相关参数控制；</w:t>
            </w:r>
            <w:r>
              <w:t xml:space="preserve"> </w:t>
            </w:r>
            <w:r>
              <w:rPr>
                <w:rFonts w:ascii="Times New Roman" w:hAnsi="Times New Roman" w:eastAsia="Times New Roman" w:cs="Times New Roman"/>
                <w:spacing w:val="5"/>
              </w:rPr>
              <w:t>7.</w:t>
            </w:r>
            <w:r>
              <w:rPr>
                <w:rFonts w:ascii="Times New Roman" w:hAnsi="Times New Roman" w:eastAsia="Times New Roman" w:cs="Times New Roman"/>
                <w:spacing w:val="-20"/>
              </w:rPr>
              <w:t xml:space="preserve"> </w:t>
            </w:r>
            <w:r>
              <w:rPr>
                <w:spacing w:val="5"/>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200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24" w:lineRule="auto"/>
              <w:ind w:left="487"/>
            </w:pPr>
            <w:r>
              <w:rPr>
                <w:spacing w:val="6"/>
              </w:rPr>
              <w:t>物理混合法</w:t>
            </w:r>
          </w:p>
        </w:tc>
        <w:tc>
          <w:tcPr>
            <w:tcW w:w="3400" w:type="dxa"/>
            <w:vAlign w:val="top"/>
          </w:tcPr>
          <w:p>
            <w:pPr>
              <w:spacing w:line="458" w:lineRule="auto"/>
              <w:rPr>
                <w:rFonts w:ascii="Arial"/>
                <w:sz w:val="21"/>
              </w:rPr>
            </w:pPr>
          </w:p>
          <w:p>
            <w:pPr>
              <w:pStyle w:val="6"/>
              <w:spacing w:before="65" w:line="243" w:lineRule="auto"/>
              <w:ind w:left="112" w:right="101" w:firstLine="425"/>
              <w:jc w:val="both"/>
            </w:pPr>
            <w:r>
              <w:rPr>
                <w:spacing w:val="19"/>
              </w:rPr>
              <w:t>原料验收</w:t>
            </w:r>
            <w:r>
              <w:rPr>
                <w:rFonts w:ascii="Times New Roman" w:hAnsi="Times New Roman" w:eastAsia="Times New Roman" w:cs="Times New Roman"/>
                <w:spacing w:val="19"/>
              </w:rPr>
              <w:t>-</w:t>
            </w:r>
            <w:r>
              <w:rPr>
                <w:spacing w:val="19"/>
              </w:rPr>
              <w:t>计量</w:t>
            </w:r>
            <w:r>
              <w:rPr>
                <w:rFonts w:ascii="Times New Roman" w:hAnsi="Times New Roman" w:eastAsia="Times New Roman" w:cs="Times New Roman"/>
                <w:spacing w:val="19"/>
              </w:rPr>
              <w:t>-</w:t>
            </w:r>
            <w:r>
              <w:rPr>
                <w:spacing w:val="19"/>
              </w:rPr>
              <w:t>混合</w:t>
            </w:r>
            <w:r>
              <w:rPr>
                <w:rFonts w:ascii="Times New Roman" w:hAnsi="Times New Roman" w:eastAsia="Times New Roman" w:cs="Times New Roman"/>
                <w:spacing w:val="19"/>
              </w:rPr>
              <w:t>-</w:t>
            </w:r>
            <w:r>
              <w:rPr>
                <w:spacing w:val="19"/>
              </w:rPr>
              <w:t>均质</w:t>
            </w:r>
            <w:r>
              <w:rPr>
                <w:rFonts w:ascii="Times New Roman" w:hAnsi="Times New Roman" w:eastAsia="Times New Roman" w:cs="Times New Roman"/>
                <w:spacing w:val="19"/>
              </w:rPr>
              <w:t>-</w:t>
            </w:r>
            <w:r>
              <w:rPr>
                <w:spacing w:val="19"/>
              </w:rPr>
              <w:t>过</w:t>
            </w:r>
            <w:r>
              <w:rPr>
                <w:spacing w:val="3"/>
              </w:rPr>
              <w:t xml:space="preserve"> </w:t>
            </w:r>
            <w:r>
              <w:rPr>
                <w:spacing w:val="9"/>
              </w:rPr>
              <w:t>滤</w:t>
            </w:r>
            <w:r>
              <w:rPr>
                <w:rFonts w:ascii="Times New Roman" w:hAnsi="Times New Roman" w:eastAsia="Times New Roman" w:cs="Times New Roman"/>
                <w:spacing w:val="9"/>
              </w:rPr>
              <w:t>-</w:t>
            </w:r>
            <w:r>
              <w:rPr>
                <w:spacing w:val="9"/>
              </w:rPr>
              <w:t>筛分</w:t>
            </w:r>
            <w:r>
              <w:rPr>
                <w:rFonts w:ascii="Times New Roman" w:hAnsi="Times New Roman" w:eastAsia="Times New Roman" w:cs="Times New Roman"/>
                <w:spacing w:val="9"/>
              </w:rPr>
              <w:t>-</w:t>
            </w:r>
            <w:r>
              <w:rPr>
                <w:spacing w:val="9"/>
              </w:rPr>
              <w:t>成型</w:t>
            </w:r>
            <w:r>
              <w:rPr>
                <w:rFonts w:ascii="Times New Roman" w:hAnsi="Times New Roman" w:eastAsia="Times New Roman" w:cs="Times New Roman"/>
                <w:spacing w:val="9"/>
              </w:rPr>
              <w:t>-</w:t>
            </w:r>
            <w:r>
              <w:rPr>
                <w:spacing w:val="9"/>
              </w:rPr>
              <w:t>杀菌</w:t>
            </w:r>
            <w:r>
              <w:rPr>
                <w:rFonts w:ascii="Times New Roman" w:hAnsi="Times New Roman" w:eastAsia="Times New Roman" w:cs="Times New Roman"/>
                <w:spacing w:val="9"/>
              </w:rPr>
              <w:t>-</w:t>
            </w:r>
            <w:r>
              <w:rPr>
                <w:spacing w:val="9"/>
              </w:rPr>
              <w:t>磁选</w:t>
            </w:r>
            <w:r>
              <w:rPr>
                <w:rFonts w:ascii="Times New Roman" w:hAnsi="Times New Roman" w:eastAsia="Times New Roman" w:cs="Times New Roman"/>
                <w:spacing w:val="9"/>
              </w:rPr>
              <w:t>-</w:t>
            </w:r>
            <w:r>
              <w:rPr>
                <w:spacing w:val="9"/>
              </w:rPr>
              <w:t>计量</w:t>
            </w:r>
            <w:r>
              <w:rPr>
                <w:rFonts w:ascii="Times New Roman" w:hAnsi="Times New Roman" w:eastAsia="Times New Roman" w:cs="Times New Roman"/>
                <w:spacing w:val="9"/>
              </w:rPr>
              <w:t>-</w:t>
            </w:r>
            <w:r>
              <w:rPr>
                <w:spacing w:val="9"/>
              </w:rPr>
              <w:t xml:space="preserve">包装 </w:t>
            </w:r>
            <w:r>
              <w:rPr>
                <w:rFonts w:ascii="Times New Roman" w:hAnsi="Times New Roman" w:eastAsia="Times New Roman" w:cs="Times New Roman"/>
                <w:spacing w:val="4"/>
              </w:rPr>
              <w:t>-</w:t>
            </w:r>
            <w:r>
              <w:rPr>
                <w:spacing w:val="4"/>
              </w:rPr>
              <w:t>成品</w:t>
            </w:r>
          </w:p>
        </w:tc>
        <w:tc>
          <w:tcPr>
            <w:tcW w:w="3219" w:type="dxa"/>
            <w:vAlign w:val="top"/>
          </w:tcPr>
          <w:p>
            <w:pPr>
              <w:pStyle w:val="6"/>
              <w:spacing w:before="113" w:line="223" w:lineRule="auto"/>
              <w:ind w:left="131"/>
            </w:pPr>
            <w:r>
              <w:rPr>
                <w:rFonts w:ascii="Times New Roman" w:hAnsi="Times New Roman" w:eastAsia="Times New Roman" w:cs="Times New Roman"/>
                <w:spacing w:val="5"/>
              </w:rPr>
              <w:t>1.</w:t>
            </w:r>
            <w:r>
              <w:rPr>
                <w:spacing w:val="5"/>
              </w:rPr>
              <w:t>原料的质量安全控制；</w:t>
            </w:r>
          </w:p>
          <w:p>
            <w:pPr>
              <w:pStyle w:val="6"/>
              <w:spacing w:before="116" w:line="305" w:lineRule="auto"/>
              <w:ind w:left="110" w:right="492" w:firstLine="1"/>
            </w:pPr>
            <w:r>
              <w:rPr>
                <w:rFonts w:ascii="Times New Roman" w:hAnsi="Times New Roman" w:eastAsia="Times New Roman" w:cs="Times New Roman"/>
                <w:spacing w:val="4"/>
              </w:rPr>
              <w:t>2.</w:t>
            </w:r>
            <w:r>
              <w:rPr>
                <w:spacing w:val="4"/>
              </w:rPr>
              <w:t>混合方式及相关参数控制；</w:t>
            </w:r>
            <w:r>
              <w:rPr>
                <w:spacing w:val="3"/>
              </w:rPr>
              <w:t xml:space="preserve"> </w:t>
            </w:r>
            <w:r>
              <w:rPr>
                <w:rFonts w:ascii="Times New Roman" w:hAnsi="Times New Roman" w:eastAsia="Times New Roman" w:cs="Times New Roman"/>
                <w:spacing w:val="4"/>
              </w:rPr>
              <w:t>3.</w:t>
            </w:r>
            <w:r>
              <w:rPr>
                <w:spacing w:val="4"/>
              </w:rPr>
              <w:t xml:space="preserve">计量方式及相关参数控制； </w:t>
            </w:r>
            <w:r>
              <w:rPr>
                <w:rFonts w:ascii="Times New Roman" w:hAnsi="Times New Roman" w:eastAsia="Times New Roman" w:cs="Times New Roman"/>
                <w:spacing w:val="4"/>
              </w:rPr>
              <w:t>4.</w:t>
            </w:r>
            <w:r>
              <w:rPr>
                <w:spacing w:val="4"/>
              </w:rPr>
              <w:t xml:space="preserve">杀菌方式及相关参数控制； </w:t>
            </w:r>
            <w:r>
              <w:rPr>
                <w:rFonts w:ascii="Times New Roman" w:hAnsi="Times New Roman" w:eastAsia="Times New Roman" w:cs="Times New Roman"/>
                <w:spacing w:val="6"/>
              </w:rPr>
              <w:t>5.</w:t>
            </w:r>
            <w:r>
              <w:rPr>
                <w:rFonts w:ascii="Times New Roman" w:hAnsi="Times New Roman" w:eastAsia="Times New Roman" w:cs="Times New Roman"/>
                <w:spacing w:val="-29"/>
              </w:rPr>
              <w:t xml:space="preserve"> </w:t>
            </w:r>
            <w:r>
              <w:rPr>
                <w:spacing w:val="6"/>
              </w:rPr>
              <w:t>生产过程中的异物控制。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8620" w:type="dxa"/>
            <w:gridSpan w:val="3"/>
            <w:vAlign w:val="top"/>
          </w:tcPr>
          <w:p>
            <w:pPr>
              <w:spacing w:before="81" w:line="195" w:lineRule="auto"/>
              <w:ind w:left="542"/>
              <w:rPr>
                <w:rFonts w:ascii="微软雅黑" w:hAnsi="微软雅黑" w:eastAsia="微软雅黑" w:cs="微软雅黑"/>
                <w:sz w:val="20"/>
                <w:szCs w:val="20"/>
              </w:rPr>
            </w:pPr>
            <w:r>
              <w:rPr>
                <w:rFonts w:ascii="微软雅黑" w:hAnsi="微软雅黑" w:eastAsia="微软雅黑" w:cs="微软雅黑"/>
                <w:spacing w:val="7"/>
                <w:sz w:val="20"/>
                <w:szCs w:val="20"/>
              </w:rPr>
              <w:t>注</w:t>
            </w:r>
            <w:r>
              <w:rPr>
                <w:rFonts w:ascii="Times New Roman" w:hAnsi="Times New Roman" w:eastAsia="Times New Roman" w:cs="Times New Roman"/>
                <w:spacing w:val="7"/>
                <w:sz w:val="20"/>
                <w:szCs w:val="20"/>
              </w:rPr>
              <w:t>1</w:t>
            </w:r>
            <w:r>
              <w:rPr>
                <w:rFonts w:ascii="微软雅黑" w:hAnsi="微软雅黑" w:eastAsia="微软雅黑" w:cs="微软雅黑"/>
                <w:spacing w:val="7"/>
                <w:sz w:val="20"/>
                <w:szCs w:val="20"/>
              </w:rPr>
              <w:t>：</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本表所列工艺流程为常规工艺流程</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，企业可根据实际生产形式优化调整。</w:t>
            </w:r>
          </w:p>
          <w:p>
            <w:pPr>
              <w:spacing w:before="1" w:line="205" w:lineRule="auto"/>
              <w:ind w:left="542"/>
              <w:rPr>
                <w:rFonts w:ascii="微软雅黑" w:hAnsi="微软雅黑" w:eastAsia="微软雅黑" w:cs="微软雅黑"/>
                <w:sz w:val="20"/>
                <w:szCs w:val="20"/>
              </w:rPr>
            </w:pPr>
            <w:r>
              <w:rPr>
                <w:rFonts w:ascii="微软雅黑" w:hAnsi="微软雅黑" w:eastAsia="微软雅黑" w:cs="微软雅黑"/>
                <w:spacing w:val="8"/>
                <w:sz w:val="20"/>
                <w:szCs w:val="20"/>
              </w:rPr>
              <w:t xml:space="preserve">注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11"/>
                <w:sz w:val="20"/>
                <w:szCs w:val="20"/>
              </w:rPr>
              <w:t xml:space="preserve"> </w:t>
            </w:r>
            <w:r>
              <w:rPr>
                <w:rFonts w:ascii="微软雅黑" w:hAnsi="微软雅黑" w:eastAsia="微软雅黑" w:cs="微软雅黑"/>
                <w:spacing w:val="8"/>
                <w:sz w:val="20"/>
                <w:szCs w:val="20"/>
              </w:rPr>
              <w:t>：企业应当根据实际生产过程中的食品安全风险制定</w:t>
            </w:r>
            <w:r>
              <w:rPr>
                <w:rFonts w:ascii="微软雅黑" w:hAnsi="微软雅黑" w:eastAsia="微软雅黑" w:cs="微软雅黑"/>
                <w:spacing w:val="7"/>
                <w:sz w:val="20"/>
                <w:szCs w:val="20"/>
              </w:rPr>
              <w:t>本企业的关键环节控制要求。</w:t>
            </w:r>
          </w:p>
          <w:p>
            <w:pPr>
              <w:spacing w:before="5" w:line="208" w:lineRule="auto"/>
              <w:ind w:left="119" w:right="109" w:firstLine="423"/>
              <w:rPr>
                <w:rFonts w:ascii="微软雅黑" w:hAnsi="微软雅黑" w:eastAsia="微软雅黑" w:cs="微软雅黑"/>
                <w:sz w:val="20"/>
                <w:szCs w:val="20"/>
              </w:rPr>
            </w:pPr>
            <w:r>
              <w:rPr>
                <w:rFonts w:ascii="微软雅黑" w:hAnsi="微软雅黑" w:eastAsia="微软雅黑" w:cs="微软雅黑"/>
                <w:spacing w:val="8"/>
                <w:sz w:val="20"/>
                <w:szCs w:val="20"/>
              </w:rPr>
              <w:t xml:space="preserve">注 </w:t>
            </w:r>
            <w:r>
              <w:rPr>
                <w:rFonts w:ascii="Times New Roman" w:hAnsi="Times New Roman" w:eastAsia="Times New Roman" w:cs="Times New Roman"/>
                <w:spacing w:val="8"/>
                <w:sz w:val="20"/>
                <w:szCs w:val="20"/>
              </w:rPr>
              <w:t>3</w:t>
            </w:r>
            <w:r>
              <w:rPr>
                <w:rFonts w:ascii="微软雅黑" w:hAnsi="微软雅黑" w:eastAsia="微软雅黑" w:cs="微软雅黑"/>
                <w:spacing w:val="8"/>
                <w:sz w:val="20"/>
                <w:szCs w:val="20"/>
              </w:rPr>
              <w:t>：</w:t>
            </w:r>
            <w:r>
              <w:rPr>
                <w:rFonts w:ascii="微软雅黑" w:hAnsi="微软雅黑" w:eastAsia="微软雅黑" w:cs="微软雅黑"/>
                <w:spacing w:val="-21"/>
                <w:sz w:val="20"/>
                <w:szCs w:val="20"/>
              </w:rPr>
              <w:t xml:space="preserve"> </w:t>
            </w:r>
            <w:r>
              <w:rPr>
                <w:rFonts w:ascii="微软雅黑" w:hAnsi="微软雅黑" w:eastAsia="微软雅黑" w:cs="微软雅黑"/>
                <w:spacing w:val="8"/>
                <w:sz w:val="20"/>
                <w:szCs w:val="20"/>
              </w:rPr>
              <w:t>分装的常规工艺流程为计量</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、包装等</w:t>
            </w:r>
            <w:r>
              <w:rPr>
                <w:rFonts w:ascii="微软雅黑" w:hAnsi="微软雅黑" w:eastAsia="微软雅黑" w:cs="微软雅黑"/>
                <w:spacing w:val="-32"/>
                <w:sz w:val="20"/>
                <w:szCs w:val="20"/>
              </w:rPr>
              <w:t xml:space="preserve"> </w:t>
            </w:r>
            <w:r>
              <w:rPr>
                <w:rFonts w:ascii="微软雅黑" w:hAnsi="微软雅黑" w:eastAsia="微软雅黑" w:cs="微软雅黑"/>
                <w:spacing w:val="8"/>
                <w:sz w:val="20"/>
                <w:szCs w:val="20"/>
              </w:rPr>
              <w:t>。分装的关键控制环节一般为原料的质量安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全控制、生产过程中卫生控制和异物控制等。</w:t>
            </w:r>
          </w:p>
          <w:p>
            <w:pPr>
              <w:spacing w:before="4" w:line="182" w:lineRule="auto"/>
              <w:ind w:left="542"/>
              <w:rPr>
                <w:rFonts w:ascii="微软雅黑" w:hAnsi="微软雅黑" w:eastAsia="微软雅黑" w:cs="微软雅黑"/>
                <w:sz w:val="20"/>
                <w:szCs w:val="20"/>
              </w:rPr>
            </w:pPr>
            <w:r>
              <w:rPr>
                <w:rFonts w:ascii="微软雅黑" w:hAnsi="微软雅黑" w:eastAsia="微软雅黑" w:cs="微软雅黑"/>
                <w:spacing w:val="6"/>
                <w:sz w:val="20"/>
                <w:szCs w:val="20"/>
              </w:rPr>
              <w:t xml:space="preserve">注 </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10"/>
                <w:sz w:val="20"/>
                <w:szCs w:val="20"/>
              </w:rPr>
              <w:t xml:space="preserve"> </w:t>
            </w:r>
            <w:r>
              <w:rPr>
                <w:rFonts w:ascii="微软雅黑" w:hAnsi="微软雅黑" w:eastAsia="微软雅黑" w:cs="微软雅黑"/>
                <w:spacing w:val="6"/>
                <w:sz w:val="20"/>
                <w:szCs w:val="20"/>
              </w:rPr>
              <w:t>：本表所列生产形式可以以多种形式组</w:t>
            </w:r>
            <w:r>
              <w:rPr>
                <w:rFonts w:ascii="微软雅黑" w:hAnsi="微软雅黑" w:eastAsia="微软雅黑" w:cs="微软雅黑"/>
                <w:spacing w:val="5"/>
                <w:sz w:val="20"/>
                <w:szCs w:val="20"/>
              </w:rPr>
              <w:t>合。</w:t>
            </w:r>
          </w:p>
        </w:tc>
      </w:tr>
    </w:tbl>
    <w:p>
      <w:pPr>
        <w:spacing w:before="341" w:line="226" w:lineRule="auto"/>
        <w:ind w:left="3125"/>
        <w:outlineLvl w:val="1"/>
        <w:rPr>
          <w:rFonts w:ascii="黑体" w:hAnsi="黑体" w:eastAsia="黑体" w:cs="黑体"/>
          <w:sz w:val="31"/>
          <w:szCs w:val="31"/>
        </w:rPr>
      </w:pPr>
      <w:r>
        <w:rPr>
          <w:rFonts w:ascii="黑体" w:hAnsi="黑体" w:eastAsia="黑体" w:cs="黑体"/>
          <w:spacing w:val="7"/>
          <w:sz w:val="31"/>
          <w:szCs w:val="31"/>
        </w:rPr>
        <w:t>第五章 人员管理</w:t>
      </w:r>
    </w:p>
    <w:p>
      <w:pPr>
        <w:spacing w:line="277" w:lineRule="auto"/>
        <w:rPr>
          <w:rFonts w:ascii="Arial"/>
          <w:sz w:val="21"/>
        </w:rPr>
      </w:pPr>
    </w:p>
    <w:p>
      <w:pPr>
        <w:pStyle w:val="2"/>
        <w:spacing w:before="100" w:line="343" w:lineRule="auto"/>
        <w:ind w:left="12" w:firstLine="633"/>
      </w:pPr>
      <w:r>
        <w:rPr>
          <w:rFonts w:ascii="黑体" w:hAnsi="黑体" w:eastAsia="黑体" w:cs="黑体"/>
          <w:spacing w:val="9"/>
        </w:rPr>
        <w:t xml:space="preserve">第三十一条  </w:t>
      </w:r>
      <w:r>
        <w:rPr>
          <w:spacing w:val="9"/>
        </w:rPr>
        <w:t>应当依法配备食品安全管理人员和食品安全</w:t>
      </w:r>
      <w:r>
        <w:t xml:space="preserve"> </w:t>
      </w:r>
      <w:r>
        <w:rPr>
          <w:spacing w:val="9"/>
        </w:rPr>
        <w:t>专业技术人员。企业主要负责人、食品安全总监、食品安全员</w:t>
      </w:r>
      <w:r>
        <w:rPr>
          <w:spacing w:val="5"/>
        </w:rPr>
        <w:t xml:space="preserve"> </w:t>
      </w:r>
      <w:r>
        <w:rPr>
          <w:spacing w:val="8"/>
        </w:rPr>
        <w:t>应当符合《企业落实食品安全主体责任监督管理规定》。</w:t>
      </w:r>
    </w:p>
    <w:p>
      <w:pPr>
        <w:pStyle w:val="2"/>
        <w:spacing w:before="6" w:line="325" w:lineRule="auto"/>
        <w:ind w:left="5" w:firstLine="645"/>
      </w:pPr>
      <w:r>
        <w:rPr>
          <w:spacing w:val="9"/>
        </w:rPr>
        <w:t>食品安全管理人员应当掌握食品安全法律法规、食品添加</w:t>
      </w:r>
      <w:r>
        <w:rPr>
          <w:spacing w:val="5"/>
        </w:rPr>
        <w:t xml:space="preserve"> </w:t>
      </w:r>
      <w:r>
        <w:rPr>
          <w:spacing w:val="9"/>
        </w:rPr>
        <w:t>剂相关标准及生产加工专业知识，具备食品安全管理能力。食</w:t>
      </w:r>
      <w:r>
        <w:rPr>
          <w:spacing w:val="13"/>
        </w:rPr>
        <w:t xml:space="preserve"> </w:t>
      </w:r>
      <w:r>
        <w:rPr>
          <w:spacing w:val="9"/>
        </w:rPr>
        <w:t>品安全专业技术人员应当掌握食品添加剂生产工艺操作规程，</w:t>
      </w:r>
      <w:r>
        <w:rPr>
          <w:spacing w:val="13"/>
        </w:rPr>
        <w:t xml:space="preserve"> </w:t>
      </w:r>
      <w:r>
        <w:rPr>
          <w:spacing w:val="8"/>
        </w:rPr>
        <w:t>能够熟练操作与岗位相关的设备设施。</w:t>
      </w:r>
    </w:p>
    <w:p>
      <w:pPr>
        <w:pStyle w:val="2"/>
        <w:spacing w:before="51" w:line="319" w:lineRule="auto"/>
        <w:ind w:left="12" w:firstLine="629"/>
      </w:pPr>
      <w:r>
        <w:rPr>
          <w:spacing w:val="9"/>
        </w:rPr>
        <w:t>检验人员应当具有食品、化学或相关专业知识，经专业培</w:t>
      </w:r>
      <w:r>
        <w:rPr>
          <w:spacing w:val="14"/>
        </w:rPr>
        <w:t xml:space="preserve"> </w:t>
      </w:r>
      <w:r>
        <w:rPr>
          <w:spacing w:val="8"/>
        </w:rPr>
        <w:t>训合格。检验人员数量应当满足企业检验需求。</w:t>
      </w:r>
    </w:p>
    <w:p>
      <w:pPr>
        <w:pStyle w:val="2"/>
        <w:spacing w:before="52" w:line="220" w:lineRule="auto"/>
        <w:jc w:val="right"/>
      </w:pPr>
      <w:r>
        <w:rPr>
          <w:spacing w:val="9"/>
        </w:rPr>
        <w:t>操作人员应当掌握本职岗位的作业指导书、操作规程或配</w:t>
      </w:r>
    </w:p>
    <w:p>
      <w:pPr>
        <w:spacing w:line="220" w:lineRule="auto"/>
        <w:sectPr>
          <w:footerReference r:id="rId16" w:type="default"/>
          <w:pgSz w:w="12240" w:h="15840"/>
          <w:pgMar w:top="1346" w:right="1800" w:bottom="897" w:left="1807" w:header="0" w:footer="724" w:gutter="0"/>
          <w:cols w:space="720" w:num="1"/>
        </w:sectPr>
      </w:pPr>
    </w:p>
    <w:p>
      <w:pPr>
        <w:pStyle w:val="2"/>
        <w:spacing w:before="271" w:line="220" w:lineRule="auto"/>
        <w:ind w:left="7"/>
      </w:pPr>
      <w:r>
        <w:rPr>
          <w:spacing w:val="8"/>
        </w:rPr>
        <w:t>方等工艺文件的相关要求，能够熟练操作本岗位设备。</w:t>
      </w:r>
    </w:p>
    <w:p>
      <w:pPr>
        <w:pStyle w:val="2"/>
        <w:spacing w:before="189" w:line="317" w:lineRule="auto"/>
        <w:ind w:left="10" w:firstLine="640"/>
      </w:pPr>
      <w:r>
        <w:rPr>
          <w:spacing w:val="9"/>
        </w:rPr>
        <w:t>菌种保存及扩大培养相关操作的岗位人员应当进行微生物</w:t>
      </w:r>
      <w:r>
        <w:rPr>
          <w:spacing w:val="2"/>
        </w:rPr>
        <w:t xml:space="preserve"> </w:t>
      </w:r>
      <w:r>
        <w:rPr>
          <w:spacing w:val="8"/>
        </w:rPr>
        <w:t>和菌种相关知识培训，并具有相应技能。</w:t>
      </w:r>
    </w:p>
    <w:p>
      <w:pPr>
        <w:pStyle w:val="2"/>
        <w:spacing w:before="56" w:line="323" w:lineRule="auto"/>
        <w:ind w:left="11" w:firstLine="648"/>
      </w:pPr>
      <w:r>
        <w:rPr>
          <w:spacing w:val="9"/>
        </w:rPr>
        <w:t>负责清洁消毒的人员应当接受良好培训，能</w:t>
      </w:r>
      <w:r>
        <w:rPr>
          <w:spacing w:val="8"/>
        </w:rPr>
        <w:t>够正确使用清</w:t>
      </w:r>
      <w:r>
        <w:t xml:space="preserve"> </w:t>
      </w:r>
      <w:r>
        <w:rPr>
          <w:spacing w:val="9"/>
        </w:rPr>
        <w:t>洁消毒工器具及相关洗涤剂、消毒剂，保证清洁和消毒作业的</w:t>
      </w:r>
      <w:r>
        <w:rPr>
          <w:spacing w:val="4"/>
        </w:rPr>
        <w:t xml:space="preserve"> </w:t>
      </w:r>
      <w:r>
        <w:rPr>
          <w:spacing w:val="6"/>
        </w:rPr>
        <w:t>效果满足生产要求。</w:t>
      </w:r>
    </w:p>
    <w:p>
      <w:pPr>
        <w:pStyle w:val="2"/>
        <w:spacing w:before="50" w:line="319" w:lineRule="auto"/>
        <w:ind w:left="6" w:firstLine="657"/>
      </w:pPr>
      <w:r>
        <w:rPr>
          <w:spacing w:val="8"/>
        </w:rPr>
        <w:t>涉及危险化学品相关操作的岗位人员应当经过危险化学品</w:t>
      </w:r>
      <w:r>
        <w:rPr>
          <w:spacing w:val="15"/>
        </w:rPr>
        <w:t xml:space="preserve"> </w:t>
      </w:r>
      <w:r>
        <w:rPr>
          <w:spacing w:val="4"/>
        </w:rPr>
        <w:t>知识培训。</w:t>
      </w:r>
    </w:p>
    <w:p>
      <w:pPr>
        <w:pStyle w:val="2"/>
        <w:spacing w:before="100" w:line="343" w:lineRule="auto"/>
        <w:ind w:left="6" w:firstLine="636"/>
        <w:jc w:val="both"/>
      </w:pPr>
      <w:r>
        <w:rPr>
          <w:rFonts w:ascii="黑体" w:hAnsi="黑体" w:eastAsia="黑体" w:cs="黑体"/>
          <w:spacing w:val="9"/>
        </w:rPr>
        <w:t xml:space="preserve">第三十二条  </w:t>
      </w:r>
      <w:r>
        <w:rPr>
          <w:spacing w:val="9"/>
        </w:rPr>
        <w:t>企业应当建立培训制度，制定培训计划，培</w:t>
      </w:r>
      <w:r>
        <w:rPr>
          <w:spacing w:val="1"/>
        </w:rPr>
        <w:t xml:space="preserve"> </w:t>
      </w:r>
      <w:r>
        <w:rPr>
          <w:spacing w:val="9"/>
        </w:rPr>
        <w:t xml:space="preserve">训的内容应当与岗位相适应。与质量安全相关岗位的人员应当 </w:t>
      </w:r>
      <w:r>
        <w:rPr>
          <w:spacing w:val="8"/>
        </w:rPr>
        <w:t>定期培训和考核，不具备能力的不得上岗。</w:t>
      </w:r>
    </w:p>
    <w:p>
      <w:pPr>
        <w:pStyle w:val="2"/>
        <w:spacing w:before="57" w:line="343" w:lineRule="auto"/>
        <w:ind w:left="1" w:firstLine="642"/>
        <w:jc w:val="both"/>
      </w:pPr>
      <w:r>
        <w:rPr>
          <w:rFonts w:ascii="黑体" w:hAnsi="黑体" w:eastAsia="黑体" w:cs="黑体"/>
          <w:spacing w:val="9"/>
        </w:rPr>
        <w:t xml:space="preserve">第三十三条  </w:t>
      </w:r>
      <w:r>
        <w:rPr>
          <w:spacing w:val="9"/>
        </w:rPr>
        <w:t>企业应当建立健康管理制度。从业人员上岗</w:t>
      </w:r>
      <w:r>
        <w:rPr>
          <w:spacing w:val="1"/>
        </w:rPr>
        <w:t xml:space="preserve"> </w:t>
      </w:r>
      <w:r>
        <w:rPr>
          <w:spacing w:val="9"/>
        </w:rPr>
        <w:t>前应当对其进行卫生培训。从业人员应当严格遵守有关卫生制</w:t>
      </w:r>
      <w:r>
        <w:rPr>
          <w:spacing w:val="14"/>
        </w:rPr>
        <w:t xml:space="preserve"> </w:t>
      </w:r>
      <w:r>
        <w:rPr>
          <w:spacing w:val="-2"/>
        </w:rPr>
        <w:t>度。</w:t>
      </w:r>
    </w:p>
    <w:p>
      <w:pPr>
        <w:spacing w:before="166" w:line="227" w:lineRule="auto"/>
        <w:ind w:left="3122"/>
        <w:outlineLvl w:val="1"/>
        <w:rPr>
          <w:rFonts w:ascii="黑体" w:hAnsi="黑体" w:eastAsia="黑体" w:cs="黑体"/>
          <w:sz w:val="31"/>
          <w:szCs w:val="31"/>
        </w:rPr>
      </w:pPr>
      <w:r>
        <w:rPr>
          <w:rFonts w:ascii="黑体" w:hAnsi="黑体" w:eastAsia="黑体" w:cs="黑体"/>
          <w:spacing w:val="7"/>
          <w:sz w:val="31"/>
          <w:szCs w:val="31"/>
        </w:rPr>
        <w:t>第六章 管理制度</w:t>
      </w:r>
    </w:p>
    <w:p>
      <w:pPr>
        <w:spacing w:line="277" w:lineRule="auto"/>
        <w:rPr>
          <w:rFonts w:ascii="Arial"/>
          <w:sz w:val="21"/>
        </w:rPr>
      </w:pPr>
    </w:p>
    <w:p>
      <w:pPr>
        <w:pStyle w:val="2"/>
        <w:spacing w:before="101" w:line="224" w:lineRule="auto"/>
        <w:jc w:val="right"/>
      </w:pPr>
      <w:r>
        <w:rPr>
          <w:rFonts w:ascii="黑体" w:hAnsi="黑体" w:eastAsia="黑体" w:cs="黑体"/>
          <w:spacing w:val="9"/>
        </w:rPr>
        <w:t xml:space="preserve">第三十四条  </w:t>
      </w:r>
      <w:r>
        <w:rPr>
          <w:spacing w:val="9"/>
        </w:rPr>
        <w:t>建立并执行原料、相关产品采购管理及进货</w:t>
      </w:r>
    </w:p>
    <w:p>
      <w:pPr>
        <w:pStyle w:val="2"/>
        <w:spacing w:before="218" w:line="222" w:lineRule="auto"/>
        <w:ind w:left="2"/>
      </w:pPr>
      <w:r>
        <w:rPr>
          <w:spacing w:val="6"/>
        </w:rPr>
        <w:t>查验记录制度。</w:t>
      </w:r>
    </w:p>
    <w:p>
      <w:pPr>
        <w:spacing w:before="220" w:line="229" w:lineRule="auto"/>
        <w:ind w:left="668"/>
        <w:outlineLvl w:val="1"/>
        <w:rPr>
          <w:rFonts w:ascii="楷体" w:hAnsi="楷体" w:eastAsia="楷体" w:cs="楷体"/>
          <w:sz w:val="31"/>
          <w:szCs w:val="31"/>
        </w:rPr>
      </w:pPr>
      <w:r>
        <w:rPr>
          <w:rFonts w:ascii="楷体" w:hAnsi="楷体" w:eastAsia="楷体" w:cs="楷体"/>
          <w:spacing w:val="6"/>
          <w:sz w:val="31"/>
          <w:szCs w:val="31"/>
        </w:rPr>
        <w:t>（一）原料采购管理要求</w:t>
      </w:r>
    </w:p>
    <w:p>
      <w:pPr>
        <w:pStyle w:val="2"/>
        <w:spacing w:before="210" w:line="288" w:lineRule="auto"/>
        <w:ind w:firstLine="635"/>
      </w:pPr>
      <w:r>
        <w:rPr>
          <w:spacing w:val="-2"/>
        </w:rPr>
        <w:t>（</w:t>
      </w:r>
      <w:r>
        <w:rPr>
          <w:spacing w:val="-5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4"/>
        </w:rPr>
        <w:t xml:space="preserve"> </w:t>
      </w:r>
      <w:r>
        <w:rPr>
          <w:spacing w:val="-2"/>
        </w:rPr>
        <w:t>）采购的原料、相关产品应当符合国家法律法规、相应</w:t>
      </w:r>
      <w:r>
        <w:t xml:space="preserve"> </w:t>
      </w:r>
      <w:r>
        <w:rPr>
          <w:spacing w:val="8"/>
        </w:rPr>
        <w:t>标准、国务院卫生行政部门规定。</w:t>
      </w:r>
    </w:p>
    <w:p>
      <w:pPr>
        <w:pStyle w:val="2"/>
        <w:spacing w:before="222" w:line="220" w:lineRule="auto"/>
        <w:ind w:right="2"/>
        <w:jc w:val="right"/>
      </w:pPr>
      <w:r>
        <w:rPr>
          <w:spacing w:val="3"/>
        </w:rPr>
        <w:t>（</w:t>
      </w:r>
      <w:r>
        <w:rPr>
          <w:rFonts w:ascii="Times New Roman" w:hAnsi="Times New Roman" w:eastAsia="Times New Roman" w:cs="Times New Roman"/>
          <w:spacing w:val="3"/>
        </w:rPr>
        <w:t>2</w:t>
      </w:r>
      <w:r>
        <w:rPr>
          <w:spacing w:val="3"/>
        </w:rPr>
        <w:t>）采购进口食品添加剂作为原料的，应当经出入境检验</w:t>
      </w:r>
    </w:p>
    <w:p>
      <w:pPr>
        <w:spacing w:line="220" w:lineRule="auto"/>
        <w:sectPr>
          <w:footerReference r:id="rId17" w:type="default"/>
          <w:pgSz w:w="12240" w:h="15840"/>
          <w:pgMar w:top="1346" w:right="1800" w:bottom="897" w:left="1809" w:header="0" w:footer="724" w:gutter="0"/>
          <w:cols w:space="720" w:num="1"/>
        </w:sectPr>
      </w:pPr>
    </w:p>
    <w:p>
      <w:pPr>
        <w:pStyle w:val="2"/>
        <w:spacing w:before="324" w:line="343" w:lineRule="auto"/>
        <w:ind w:left="2" w:hanging="2"/>
        <w:jc w:val="both"/>
      </w:pPr>
      <w:r>
        <w:rPr>
          <w:spacing w:val="7"/>
        </w:rPr>
        <w:t>检疫机构依照进出口商品相关法律法规的规定检验合格。</w:t>
      </w:r>
      <w:r>
        <w:rPr>
          <w:spacing w:val="6"/>
        </w:rPr>
        <w:t>进</w:t>
      </w:r>
      <w:r>
        <w:rPr>
          <w:spacing w:val="-83"/>
        </w:rPr>
        <w:t xml:space="preserve"> </w:t>
      </w:r>
      <w:r>
        <w:rPr>
          <w:spacing w:val="6"/>
        </w:rPr>
        <w:t>口</w:t>
      </w:r>
      <w:r>
        <w:t xml:space="preserve"> </w:t>
      </w:r>
      <w:r>
        <w:rPr>
          <w:spacing w:val="9"/>
        </w:rPr>
        <w:t>的食品添加剂应当按照国家出入境检验检疫部门的要求随附合</w:t>
      </w:r>
      <w:r>
        <w:rPr>
          <w:spacing w:val="14"/>
        </w:rPr>
        <w:t xml:space="preserve"> </w:t>
      </w:r>
      <w:r>
        <w:rPr>
          <w:spacing w:val="6"/>
        </w:rPr>
        <w:t>格证明材料。</w:t>
      </w:r>
    </w:p>
    <w:p>
      <w:pPr>
        <w:pStyle w:val="2"/>
        <w:spacing w:before="53" w:line="288" w:lineRule="auto"/>
        <w:ind w:left="5" w:firstLine="631"/>
      </w:pPr>
      <w:r>
        <w:rPr>
          <w:spacing w:val="3"/>
        </w:rPr>
        <w:t>（</w:t>
      </w:r>
      <w:r>
        <w:rPr>
          <w:rFonts w:ascii="Times New Roman" w:hAnsi="Times New Roman" w:eastAsia="Times New Roman" w:cs="Times New Roman"/>
          <w:spacing w:val="3"/>
        </w:rPr>
        <w:t>3</w:t>
      </w:r>
      <w:r>
        <w:rPr>
          <w:spacing w:val="3"/>
        </w:rPr>
        <w:t>）采购发酵用菌种应当符合国家有关标准规定，附有检</w:t>
      </w:r>
      <w:r>
        <w:rPr>
          <w:spacing w:val="10"/>
        </w:rPr>
        <w:t xml:space="preserve"> </w:t>
      </w:r>
      <w:r>
        <w:rPr>
          <w:spacing w:val="8"/>
        </w:rPr>
        <w:t>验合格报告或产品合格证明文件。</w:t>
      </w:r>
    </w:p>
    <w:p>
      <w:pPr>
        <w:pStyle w:val="2"/>
        <w:spacing w:before="220" w:line="287" w:lineRule="auto"/>
        <w:ind w:left="3" w:firstLine="632"/>
      </w:pPr>
      <w:r>
        <w:rPr>
          <w:spacing w:val="3"/>
        </w:rPr>
        <w:t>（</w:t>
      </w:r>
      <w:r>
        <w:rPr>
          <w:rFonts w:ascii="Times New Roman" w:hAnsi="Times New Roman" w:eastAsia="Times New Roman" w:cs="Times New Roman"/>
          <w:spacing w:val="3"/>
        </w:rPr>
        <w:t>4</w:t>
      </w:r>
      <w:r>
        <w:rPr>
          <w:spacing w:val="3"/>
        </w:rPr>
        <w:t>）对无法提供合格证明的原料，应当按照相应的标准自</w:t>
      </w:r>
      <w:r>
        <w:rPr>
          <w:spacing w:val="10"/>
        </w:rPr>
        <w:t xml:space="preserve"> </w:t>
      </w:r>
      <w:r>
        <w:rPr>
          <w:spacing w:val="9"/>
        </w:rPr>
        <w:t>行检验或委托具备相应检验资质的检验机构进行检</w:t>
      </w:r>
      <w:r>
        <w:rPr>
          <w:spacing w:val="8"/>
        </w:rPr>
        <w:t>验。</w:t>
      </w:r>
    </w:p>
    <w:p>
      <w:pPr>
        <w:pStyle w:val="2"/>
        <w:spacing w:before="226" w:line="321" w:lineRule="auto"/>
        <w:ind w:left="1" w:firstLine="635"/>
      </w:pPr>
      <w:r>
        <w:rPr>
          <w:spacing w:val="1"/>
        </w:rPr>
        <w:t>（</w:t>
      </w:r>
      <w:r>
        <w:rPr>
          <w:rFonts w:ascii="Times New Roman" w:hAnsi="Times New Roman" w:eastAsia="Times New Roman" w:cs="Times New Roman"/>
          <w:spacing w:val="1"/>
        </w:rPr>
        <w:t>5</w:t>
      </w:r>
      <w:r>
        <w:rPr>
          <w:rFonts w:ascii="Times New Roman" w:hAnsi="Times New Roman" w:eastAsia="Times New Roman" w:cs="Times New Roman"/>
          <w:spacing w:val="-18"/>
        </w:rPr>
        <w:t xml:space="preserve"> </w:t>
      </w:r>
      <w:r>
        <w:rPr>
          <w:spacing w:val="1"/>
        </w:rPr>
        <w:t>）以半成品或成品为原料生产食品添加剂，应当采用已</w:t>
      </w:r>
      <w:r>
        <w:t xml:space="preserve"> </w:t>
      </w:r>
      <w:r>
        <w:rPr>
          <w:spacing w:val="9"/>
        </w:rPr>
        <w:t>取得相应品种食品添加剂生产许可的生产企业按食品安全国家</w:t>
      </w:r>
      <w:r>
        <w:rPr>
          <w:spacing w:val="15"/>
        </w:rPr>
        <w:t xml:space="preserve"> </w:t>
      </w:r>
      <w:r>
        <w:rPr>
          <w:spacing w:val="9"/>
        </w:rPr>
        <w:t>标准、国务院卫生行政部门公告规定工艺生产的食品添加剂半</w:t>
      </w:r>
      <w:r>
        <w:rPr>
          <w:spacing w:val="15"/>
        </w:rPr>
        <w:t xml:space="preserve"> </w:t>
      </w:r>
      <w:r>
        <w:rPr>
          <w:spacing w:val="6"/>
        </w:rPr>
        <w:t>成品或成品。</w:t>
      </w:r>
    </w:p>
    <w:p>
      <w:pPr>
        <w:spacing w:before="214" w:line="229" w:lineRule="auto"/>
        <w:ind w:left="670"/>
        <w:outlineLvl w:val="1"/>
        <w:rPr>
          <w:rFonts w:ascii="楷体" w:hAnsi="楷体" w:eastAsia="楷体" w:cs="楷体"/>
          <w:sz w:val="31"/>
          <w:szCs w:val="31"/>
        </w:rPr>
      </w:pPr>
      <w:r>
        <w:rPr>
          <w:rFonts w:ascii="楷体" w:hAnsi="楷体" w:eastAsia="楷体" w:cs="楷体"/>
          <w:spacing w:val="6"/>
          <w:sz w:val="31"/>
          <w:szCs w:val="31"/>
        </w:rPr>
        <w:t>（二）供应商管理要求</w:t>
      </w:r>
    </w:p>
    <w:p>
      <w:pPr>
        <w:pStyle w:val="2"/>
        <w:spacing w:before="213" w:line="287" w:lineRule="auto"/>
        <w:ind w:left="2" w:firstLine="634"/>
      </w:pPr>
      <w:r>
        <w:rPr>
          <w:spacing w:val="-2"/>
        </w:rPr>
        <w:t>（</w:t>
      </w:r>
      <w:r>
        <w:rPr>
          <w:spacing w:val="-5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4"/>
        </w:rPr>
        <w:t xml:space="preserve"> </w:t>
      </w:r>
      <w:r>
        <w:rPr>
          <w:spacing w:val="-2"/>
        </w:rPr>
        <w:t>）应当定期对主要原料、相关产品供应商进行评价、考</w:t>
      </w:r>
      <w:r>
        <w:t xml:space="preserve"> </w:t>
      </w:r>
      <w:r>
        <w:rPr>
          <w:spacing w:val="8"/>
        </w:rPr>
        <w:t>核，确定合格供应商名单。</w:t>
      </w:r>
    </w:p>
    <w:p>
      <w:pPr>
        <w:pStyle w:val="2"/>
        <w:spacing w:before="225" w:line="288" w:lineRule="auto"/>
        <w:ind w:left="11" w:firstLine="625"/>
      </w:pPr>
      <w:r>
        <w:rPr>
          <w:spacing w:val="3"/>
        </w:rPr>
        <w:t>（</w:t>
      </w:r>
      <w:r>
        <w:rPr>
          <w:rFonts w:ascii="Times New Roman" w:hAnsi="Times New Roman" w:eastAsia="Times New Roman" w:cs="Times New Roman"/>
          <w:spacing w:val="3"/>
        </w:rPr>
        <w:t>2</w:t>
      </w:r>
      <w:r>
        <w:rPr>
          <w:spacing w:val="3"/>
        </w:rPr>
        <w:t>）对供应商的审核应当至少包括供应商的资质、产品质</w:t>
      </w:r>
      <w:r>
        <w:rPr>
          <w:spacing w:val="10"/>
        </w:rPr>
        <w:t xml:space="preserve"> </w:t>
      </w:r>
      <w:r>
        <w:rPr>
          <w:spacing w:val="5"/>
        </w:rPr>
        <w:t>量安全状况等。</w:t>
      </w:r>
    </w:p>
    <w:p>
      <w:pPr>
        <w:spacing w:before="217" w:line="229" w:lineRule="auto"/>
        <w:ind w:left="670"/>
        <w:outlineLvl w:val="1"/>
        <w:rPr>
          <w:rFonts w:ascii="楷体" w:hAnsi="楷体" w:eastAsia="楷体" w:cs="楷体"/>
          <w:sz w:val="31"/>
          <w:szCs w:val="31"/>
        </w:rPr>
      </w:pPr>
      <w:r>
        <w:rPr>
          <w:rFonts w:ascii="楷体" w:hAnsi="楷体" w:eastAsia="楷体" w:cs="楷体"/>
          <w:spacing w:val="7"/>
          <w:sz w:val="31"/>
          <w:szCs w:val="31"/>
        </w:rPr>
        <w:t>（三）原料、相关产品验收及登记要求</w:t>
      </w:r>
    </w:p>
    <w:p>
      <w:pPr>
        <w:pStyle w:val="2"/>
        <w:spacing w:before="211" w:line="346" w:lineRule="auto"/>
        <w:ind w:left="3" w:firstLine="632"/>
      </w:pPr>
      <w:r>
        <w:rPr>
          <w:spacing w:val="-2"/>
        </w:rPr>
        <w:t>（</w:t>
      </w:r>
      <w:r>
        <w:rPr>
          <w:spacing w:val="-61"/>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4"/>
        </w:rPr>
        <w:t xml:space="preserve"> </w:t>
      </w:r>
      <w:r>
        <w:rPr>
          <w:spacing w:val="-2"/>
        </w:rPr>
        <w:t>）应当制定原料、相关产品验收标准，根据原料、相关</w:t>
      </w:r>
      <w:r>
        <w:t xml:space="preserve"> </w:t>
      </w:r>
      <w:r>
        <w:rPr>
          <w:spacing w:val="9"/>
        </w:rPr>
        <w:t>产品特性、风险因素等确定各类原料和相关产品具体验收项目</w:t>
      </w:r>
      <w:r>
        <w:rPr>
          <w:spacing w:val="13"/>
        </w:rPr>
        <w:t xml:space="preserve"> </w:t>
      </w:r>
      <w:r>
        <w:rPr>
          <w:spacing w:val="9"/>
        </w:rPr>
        <w:t>和验收要求。对原料纯度明显影响成品质量的，如着色剂等，</w:t>
      </w:r>
      <w:r>
        <w:rPr>
          <w:spacing w:val="13"/>
        </w:rPr>
        <w:t xml:space="preserve"> </w:t>
      </w:r>
      <w:r>
        <w:rPr>
          <w:spacing w:val="8"/>
        </w:rPr>
        <w:t>应当严格控制原料中杂质含量。</w:t>
      </w:r>
    </w:p>
    <w:p>
      <w:pPr>
        <w:spacing w:line="346" w:lineRule="auto"/>
        <w:sectPr>
          <w:footerReference r:id="rId18" w:type="default"/>
          <w:pgSz w:w="12240" w:h="15840"/>
          <w:pgMar w:top="1346" w:right="1800" w:bottom="895" w:left="1808" w:header="0" w:footer="724" w:gutter="0"/>
          <w:cols w:space="720" w:num="1"/>
        </w:sectPr>
      </w:pPr>
    </w:p>
    <w:p>
      <w:pPr>
        <w:pStyle w:val="2"/>
        <w:spacing w:before="325" w:line="344" w:lineRule="auto"/>
        <w:ind w:right="249" w:firstLine="638"/>
        <w:jc w:val="both"/>
      </w:pPr>
      <w:r>
        <w:rPr>
          <w:spacing w:val="3"/>
        </w:rPr>
        <w:t>（</w:t>
      </w:r>
      <w:r>
        <w:rPr>
          <w:rFonts w:ascii="Times New Roman" w:hAnsi="Times New Roman" w:eastAsia="Times New Roman" w:cs="Times New Roman"/>
          <w:spacing w:val="3"/>
        </w:rPr>
        <w:t>2</w:t>
      </w:r>
      <w:r>
        <w:rPr>
          <w:spacing w:val="3"/>
        </w:rPr>
        <w:t>）应当对采购原料、相关产品逐批登记验收，详细记录</w:t>
      </w:r>
      <w:r>
        <w:rPr>
          <w:spacing w:val="10"/>
        </w:rPr>
        <w:t xml:space="preserve"> 供应商及原料、相关产品信息，保证原料、</w:t>
      </w:r>
      <w:r>
        <w:rPr>
          <w:spacing w:val="9"/>
        </w:rPr>
        <w:t>相关产品来源可追</w:t>
      </w:r>
      <w:r>
        <w:t xml:space="preserve"> </w:t>
      </w:r>
      <w:r>
        <w:rPr>
          <w:spacing w:val="1"/>
        </w:rPr>
        <w:t>溯。</w:t>
      </w:r>
    </w:p>
    <w:p>
      <w:pPr>
        <w:pStyle w:val="2"/>
        <w:spacing w:before="43" w:line="343" w:lineRule="auto"/>
        <w:ind w:left="18" w:right="250" w:firstLine="628"/>
        <w:jc w:val="both"/>
      </w:pPr>
      <w:r>
        <w:rPr>
          <w:rFonts w:ascii="黑体" w:hAnsi="黑体" w:eastAsia="黑体" w:cs="黑体"/>
          <w:spacing w:val="9"/>
        </w:rPr>
        <w:t xml:space="preserve">第三十五条  </w:t>
      </w:r>
      <w:r>
        <w:rPr>
          <w:spacing w:val="9"/>
        </w:rPr>
        <w:t>建立并执行生产过程控制管理制度，对食品</w:t>
      </w:r>
      <w:r>
        <w:rPr>
          <w:spacing w:val="1"/>
        </w:rPr>
        <w:t xml:space="preserve"> </w:t>
      </w:r>
      <w:r>
        <w:rPr>
          <w:spacing w:val="9"/>
        </w:rPr>
        <w:t>添加剂生产全过程进行控制，确保生产工艺及产品质量符合食</w:t>
      </w:r>
      <w:r>
        <w:t xml:space="preserve"> </w:t>
      </w:r>
      <w:r>
        <w:rPr>
          <w:spacing w:val="8"/>
        </w:rPr>
        <w:t>品安全国家标准、国务院卫生行政部门公告规定。</w:t>
      </w:r>
    </w:p>
    <w:p>
      <w:pPr>
        <w:pStyle w:val="2"/>
        <w:spacing w:before="55" w:line="229" w:lineRule="auto"/>
        <w:ind w:left="638"/>
        <w:rPr>
          <w:rFonts w:ascii="楷体" w:hAnsi="楷体" w:eastAsia="楷体" w:cs="楷体"/>
        </w:rPr>
      </w:pPr>
      <w:r>
        <w:rPr>
          <w:spacing w:val="4"/>
        </w:rPr>
        <w:t>（</w:t>
      </w:r>
      <w:r>
        <w:rPr>
          <w:spacing w:val="-71"/>
        </w:rPr>
        <w:t xml:space="preserve"> </w:t>
      </w:r>
      <w:r>
        <w:rPr>
          <w:spacing w:val="4"/>
        </w:rPr>
        <w:t>一）</w:t>
      </w:r>
      <w:r>
        <w:rPr>
          <w:rFonts w:ascii="楷体" w:hAnsi="楷体" w:eastAsia="楷体" w:cs="楷体"/>
          <w:spacing w:val="4"/>
        </w:rPr>
        <w:t>原料领用、称量、投料管理</w:t>
      </w:r>
    </w:p>
    <w:p>
      <w:pPr>
        <w:pStyle w:val="2"/>
        <w:spacing w:before="209" w:line="288" w:lineRule="auto"/>
        <w:ind w:right="249" w:firstLine="637"/>
      </w:pPr>
      <w:r>
        <w:rPr>
          <w:spacing w:val="-5"/>
        </w:rPr>
        <w:t>（</w:t>
      </w:r>
      <w:r>
        <w:rPr>
          <w:spacing w:val="-74"/>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4"/>
        </w:rPr>
        <w:t xml:space="preserve"> </w:t>
      </w:r>
      <w:r>
        <w:rPr>
          <w:spacing w:val="-5"/>
        </w:rPr>
        <w:t>）建立并执行原料、相关产品领用制度，保证</w:t>
      </w:r>
      <w:r>
        <w:rPr>
          <w:spacing w:val="-6"/>
        </w:rPr>
        <w:t>领用（</w:t>
      </w:r>
      <w:r>
        <w:rPr>
          <w:spacing w:val="-58"/>
        </w:rPr>
        <w:t xml:space="preserve"> </w:t>
      </w:r>
      <w:r>
        <w:rPr>
          <w:spacing w:val="-6"/>
        </w:rPr>
        <w:t>出</w:t>
      </w:r>
      <w:r>
        <w:t xml:space="preserve"> </w:t>
      </w:r>
      <w:r>
        <w:rPr>
          <w:spacing w:val="8"/>
        </w:rPr>
        <w:t>库）品种、数量准确，记录及时完整。</w:t>
      </w:r>
    </w:p>
    <w:p>
      <w:pPr>
        <w:pStyle w:val="2"/>
        <w:spacing w:before="223" w:line="288" w:lineRule="auto"/>
        <w:ind w:left="23" w:right="252" w:firstLine="615"/>
      </w:pPr>
      <w:r>
        <w:rPr>
          <w:spacing w:val="3"/>
        </w:rPr>
        <w:t>（</w:t>
      </w:r>
      <w:r>
        <w:rPr>
          <w:rFonts w:ascii="Times New Roman" w:hAnsi="Times New Roman" w:eastAsia="Times New Roman" w:cs="Times New Roman"/>
          <w:spacing w:val="3"/>
        </w:rPr>
        <w:t>2</w:t>
      </w:r>
      <w:r>
        <w:rPr>
          <w:spacing w:val="3"/>
        </w:rPr>
        <w:t>）建立并执行原料称量记录制度，保证原料种类、数量</w:t>
      </w:r>
      <w:r>
        <w:rPr>
          <w:spacing w:val="8"/>
        </w:rPr>
        <w:t xml:space="preserve"> </w:t>
      </w:r>
      <w:r>
        <w:rPr>
          <w:spacing w:val="5"/>
        </w:rPr>
        <w:t>与产品配方要求一致。</w:t>
      </w:r>
    </w:p>
    <w:p>
      <w:pPr>
        <w:pStyle w:val="2"/>
        <w:spacing w:before="220" w:line="309" w:lineRule="auto"/>
        <w:ind w:left="7" w:right="250" w:firstLine="631"/>
      </w:pP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18"/>
        </w:rPr>
        <w:t xml:space="preserve"> </w:t>
      </w:r>
      <w:r>
        <w:rPr>
          <w:spacing w:val="1"/>
        </w:rPr>
        <w:t>）建立并执行投料核对制度，投料前对原料名称、数量</w:t>
      </w:r>
      <w:r>
        <w:t xml:space="preserve"> </w:t>
      </w:r>
      <w:r>
        <w:rPr>
          <w:spacing w:val="9"/>
        </w:rPr>
        <w:t>等信息进行复核，加工前宜进行感官检验，必要时应当进行实</w:t>
      </w:r>
      <w:r>
        <w:rPr>
          <w:spacing w:val="11"/>
        </w:rPr>
        <w:t xml:space="preserve"> </w:t>
      </w:r>
      <w:r>
        <w:rPr>
          <w:spacing w:val="9"/>
        </w:rPr>
        <w:t>验室检验，并按照工艺文件规定的投料顺序进行投料。</w:t>
      </w:r>
    </w:p>
    <w:p>
      <w:pPr>
        <w:pStyle w:val="2"/>
        <w:spacing w:before="226" w:line="220" w:lineRule="auto"/>
        <w:jc w:val="right"/>
      </w:pPr>
      <w:r>
        <w:rPr>
          <w:spacing w:val="1"/>
        </w:rPr>
        <w:t>（</w:t>
      </w:r>
      <w:r>
        <w:rPr>
          <w:rFonts w:ascii="Times New Roman" w:hAnsi="Times New Roman" w:eastAsia="Times New Roman" w:cs="Times New Roman"/>
          <w:spacing w:val="1"/>
        </w:rPr>
        <w:t>4</w:t>
      </w:r>
      <w:r>
        <w:rPr>
          <w:spacing w:val="1"/>
        </w:rPr>
        <w:t>）鼓励企业采用先进技术手段，加强投料过程精准控制。</w:t>
      </w:r>
    </w:p>
    <w:p>
      <w:pPr>
        <w:spacing w:before="221" w:line="229" w:lineRule="auto"/>
        <w:ind w:left="672"/>
        <w:rPr>
          <w:rFonts w:ascii="楷体" w:hAnsi="楷体" w:eastAsia="楷体" w:cs="楷体"/>
          <w:sz w:val="31"/>
          <w:szCs w:val="31"/>
        </w:rPr>
      </w:pPr>
      <w:r>
        <w:rPr>
          <w:rFonts w:ascii="楷体" w:hAnsi="楷体" w:eastAsia="楷体" w:cs="楷体"/>
          <w:spacing w:val="7"/>
          <w:sz w:val="31"/>
          <w:szCs w:val="31"/>
        </w:rPr>
        <w:t>（二）食品添加剂生产工艺控制</w:t>
      </w:r>
    </w:p>
    <w:p>
      <w:pPr>
        <w:pStyle w:val="2"/>
        <w:spacing w:before="214" w:line="287" w:lineRule="auto"/>
        <w:ind w:left="36" w:right="168" w:firstLine="602"/>
      </w:pPr>
      <w:r>
        <w:rPr>
          <w:spacing w:val="-10"/>
        </w:rPr>
        <w:t>（</w:t>
      </w:r>
      <w:r>
        <w:rPr>
          <w:spacing w:val="-69"/>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34"/>
        </w:rPr>
        <w:t xml:space="preserve"> </w:t>
      </w:r>
      <w:r>
        <w:rPr>
          <w:spacing w:val="-10"/>
        </w:rPr>
        <w:t>）建立并执行生产操作规程和控制制度，制定工艺文件，</w:t>
      </w:r>
      <w:r>
        <w:t xml:space="preserve"> </w:t>
      </w:r>
      <w:r>
        <w:rPr>
          <w:spacing w:val="6"/>
        </w:rPr>
        <w:t>明确关键工艺技术参数控制和记录要求。</w:t>
      </w:r>
    </w:p>
    <w:p>
      <w:pPr>
        <w:pStyle w:val="2"/>
        <w:spacing w:before="224" w:line="343" w:lineRule="auto"/>
        <w:ind w:left="8" w:right="171" w:firstLine="637"/>
      </w:pPr>
      <w:r>
        <w:rPr>
          <w:rFonts w:ascii="Times New Roman" w:hAnsi="Times New Roman" w:eastAsia="Times New Roman" w:cs="Times New Roman"/>
          <w:spacing w:val="5"/>
        </w:rPr>
        <w:t>a</w:t>
      </w:r>
      <w:r>
        <w:rPr>
          <w:rFonts w:ascii="Times New Roman" w:hAnsi="Times New Roman" w:eastAsia="Times New Roman" w:cs="Times New Roman"/>
          <w:spacing w:val="-31"/>
        </w:rPr>
        <w:t xml:space="preserve"> </w:t>
      </w:r>
      <w:r>
        <w:rPr>
          <w:spacing w:val="5"/>
        </w:rPr>
        <w:t>、企业应当根据产品情况，明确包括但不限于化学反应、</w:t>
      </w:r>
      <w:r>
        <w:t xml:space="preserve"> </w:t>
      </w:r>
      <w:r>
        <w:rPr>
          <w:spacing w:val="10"/>
        </w:rPr>
        <w:t>分离、干燥、压缩、液化、精馏、纯化、粉碎、提取、发酵、</w:t>
      </w:r>
      <w:r>
        <w:rPr>
          <w:spacing w:val="13"/>
        </w:rPr>
        <w:t xml:space="preserve"> </w:t>
      </w:r>
      <w:r>
        <w:rPr>
          <w:spacing w:val="9"/>
        </w:rPr>
        <w:t>酶处理、杀菌等操作规程和过程产品质量安全控制要求，对过</w:t>
      </w:r>
    </w:p>
    <w:p>
      <w:pPr>
        <w:spacing w:line="343" w:lineRule="auto"/>
        <w:sectPr>
          <w:footerReference r:id="rId19" w:type="default"/>
          <w:pgSz w:w="12240" w:h="15840"/>
          <w:pgMar w:top="1346" w:right="1550" w:bottom="895" w:left="1806" w:header="0" w:footer="723" w:gutter="0"/>
          <w:cols w:space="720" w:num="1"/>
        </w:sectPr>
      </w:pPr>
    </w:p>
    <w:p>
      <w:pPr>
        <w:pStyle w:val="2"/>
        <w:spacing w:before="323" w:line="220" w:lineRule="auto"/>
        <w:ind w:left="3"/>
      </w:pPr>
      <w:r>
        <w:rPr>
          <w:spacing w:val="8"/>
        </w:rPr>
        <w:t>程产品的质量安全情况进行检验和监控。</w:t>
      </w:r>
    </w:p>
    <w:p>
      <w:pPr>
        <w:pStyle w:val="2"/>
        <w:spacing w:before="223" w:line="338" w:lineRule="auto"/>
        <w:ind w:left="22" w:right="2" w:firstLine="605"/>
      </w:pPr>
      <w:r>
        <w:rPr>
          <w:rFonts w:ascii="Times New Roman" w:hAnsi="Times New Roman" w:eastAsia="Times New Roman" w:cs="Times New Roman"/>
          <w:spacing w:val="3"/>
        </w:rPr>
        <w:t>b</w:t>
      </w:r>
      <w:r>
        <w:rPr>
          <w:spacing w:val="3"/>
        </w:rPr>
        <w:t>、植物性原料采摘、动物性原料捕捞和屠宰后应当根据工</w:t>
      </w:r>
      <w:r>
        <w:rPr>
          <w:spacing w:val="12"/>
        </w:rPr>
        <w:t xml:space="preserve"> </w:t>
      </w:r>
      <w:r>
        <w:rPr>
          <w:spacing w:val="7"/>
        </w:rPr>
        <w:t>艺需要及时进行处理和贮存，避免腐烂、变质。</w:t>
      </w:r>
    </w:p>
    <w:p>
      <w:pPr>
        <w:pStyle w:val="2"/>
        <w:spacing w:before="52" w:line="341" w:lineRule="auto"/>
        <w:ind w:left="1" w:firstLine="637"/>
      </w:pPr>
      <w:r>
        <w:rPr>
          <w:rFonts w:ascii="Times New Roman" w:hAnsi="Times New Roman" w:eastAsia="Times New Roman" w:cs="Times New Roman"/>
          <w:spacing w:val="4"/>
        </w:rPr>
        <w:t>c</w:t>
      </w:r>
      <w:r>
        <w:rPr>
          <w:spacing w:val="4"/>
        </w:rPr>
        <w:t>、冷冻原料解冻时，应当控制解冻条件，防止</w:t>
      </w:r>
      <w:r>
        <w:rPr>
          <w:spacing w:val="3"/>
        </w:rPr>
        <w:t>原料腐败变</w:t>
      </w:r>
      <w:r>
        <w:t xml:space="preserve"> </w:t>
      </w:r>
      <w:r>
        <w:rPr>
          <w:spacing w:val="-3"/>
        </w:rPr>
        <w:t>质。</w:t>
      </w:r>
    </w:p>
    <w:p>
      <w:pPr>
        <w:pStyle w:val="2"/>
        <w:spacing w:before="41" w:line="340" w:lineRule="auto"/>
        <w:ind w:left="13" w:firstLine="625"/>
      </w:pPr>
      <w:r>
        <w:rPr>
          <w:rFonts w:ascii="Times New Roman" w:hAnsi="Times New Roman" w:eastAsia="Times New Roman" w:cs="Times New Roman"/>
          <w:spacing w:val="3"/>
        </w:rPr>
        <w:t>d</w:t>
      </w:r>
      <w:r>
        <w:rPr>
          <w:spacing w:val="3"/>
        </w:rPr>
        <w:t>、菌种使用前应当确认菌种特性，确保其活性，防止杂菌</w:t>
      </w:r>
      <w:r>
        <w:rPr>
          <w:spacing w:val="4"/>
        </w:rPr>
        <w:t xml:space="preserve"> </w:t>
      </w:r>
      <w:r>
        <w:rPr>
          <w:spacing w:val="-3"/>
        </w:rPr>
        <w:t>污染。</w:t>
      </w:r>
    </w:p>
    <w:p>
      <w:pPr>
        <w:pStyle w:val="2"/>
        <w:spacing w:before="48" w:line="288" w:lineRule="auto"/>
        <w:ind w:left="36" w:right="2" w:firstLine="596"/>
      </w:pPr>
      <w:r>
        <w:rPr>
          <w:spacing w:val="3"/>
        </w:rPr>
        <w:t>（</w:t>
      </w:r>
      <w:r>
        <w:rPr>
          <w:rFonts w:ascii="Times New Roman" w:hAnsi="Times New Roman" w:eastAsia="Times New Roman" w:cs="Times New Roman"/>
          <w:spacing w:val="3"/>
        </w:rPr>
        <w:t>2</w:t>
      </w:r>
      <w:r>
        <w:rPr>
          <w:spacing w:val="3"/>
        </w:rPr>
        <w:t>）应当确保按照食品安全国家标准、国务院卫生行政部</w:t>
      </w:r>
      <w:r>
        <w:rPr>
          <w:spacing w:val="8"/>
        </w:rPr>
        <w:t xml:space="preserve"> </w:t>
      </w:r>
      <w:r>
        <w:rPr>
          <w:spacing w:val="5"/>
        </w:rPr>
        <w:t>门公告规定工艺路线组织生产。</w:t>
      </w:r>
    </w:p>
    <w:p>
      <w:pPr>
        <w:pStyle w:val="2"/>
        <w:spacing w:before="218" w:line="310" w:lineRule="auto"/>
        <w:ind w:firstLine="632"/>
      </w:pPr>
      <w:r>
        <w:rPr>
          <w:spacing w:val="3"/>
        </w:rPr>
        <w:t>（</w:t>
      </w:r>
      <w:r>
        <w:rPr>
          <w:rFonts w:ascii="Times New Roman" w:hAnsi="Times New Roman" w:eastAsia="Times New Roman" w:cs="Times New Roman"/>
          <w:spacing w:val="3"/>
        </w:rPr>
        <w:t>3</w:t>
      </w:r>
      <w:r>
        <w:rPr>
          <w:spacing w:val="3"/>
        </w:rPr>
        <w:t>）鼓励企业在符合食品安全国家标准规定的基础上，优</w:t>
      </w:r>
      <w:r>
        <w:rPr>
          <w:spacing w:val="10"/>
        </w:rPr>
        <w:t xml:space="preserve"> </w:t>
      </w:r>
      <w:r>
        <w:rPr>
          <w:spacing w:val="9"/>
        </w:rPr>
        <w:t>化生产工艺，严格控制工艺技术参数，增加精制环节，降低副</w:t>
      </w:r>
      <w:r>
        <w:rPr>
          <w:spacing w:val="13"/>
        </w:rPr>
        <w:t xml:space="preserve"> </w:t>
      </w:r>
      <w:r>
        <w:rPr>
          <w:spacing w:val="7"/>
        </w:rPr>
        <w:t>产物，提高产品品质。</w:t>
      </w:r>
    </w:p>
    <w:p>
      <w:pPr>
        <w:spacing w:before="222" w:line="229" w:lineRule="auto"/>
        <w:ind w:left="666"/>
        <w:rPr>
          <w:rFonts w:ascii="楷体" w:hAnsi="楷体" w:eastAsia="楷体" w:cs="楷体"/>
          <w:sz w:val="31"/>
          <w:szCs w:val="31"/>
        </w:rPr>
      </w:pPr>
      <w:r>
        <w:rPr>
          <w:rFonts w:ascii="楷体" w:hAnsi="楷体" w:eastAsia="楷体" w:cs="楷体"/>
          <w:spacing w:val="6"/>
          <w:sz w:val="31"/>
          <w:szCs w:val="31"/>
        </w:rPr>
        <w:t>（三）商品化产品的生产</w:t>
      </w:r>
    </w:p>
    <w:p>
      <w:pPr>
        <w:pStyle w:val="2"/>
        <w:spacing w:before="207" w:line="348" w:lineRule="auto"/>
        <w:ind w:left="7" w:firstLine="653"/>
      </w:pPr>
      <w:r>
        <w:rPr>
          <w:spacing w:val="8"/>
        </w:rPr>
        <w:t>生产食品安全国家标准规定的食品添加剂商品化产品的企</w:t>
      </w:r>
      <w:r>
        <w:rPr>
          <w:spacing w:val="15"/>
        </w:rPr>
        <w:t xml:space="preserve"> </w:t>
      </w:r>
      <w:r>
        <w:rPr>
          <w:spacing w:val="9"/>
        </w:rPr>
        <w:t>业，应当制定商品化产品生产管理制度，确保按照食品安全国</w:t>
      </w:r>
      <w:r>
        <w:rPr>
          <w:spacing w:val="5"/>
        </w:rPr>
        <w:t xml:space="preserve"> </w:t>
      </w:r>
      <w:r>
        <w:rPr>
          <w:spacing w:val="9"/>
        </w:rPr>
        <w:t>家标准规定生产食品添加剂纯品，添加工艺所必需的食品原料</w:t>
      </w:r>
      <w:r>
        <w:rPr>
          <w:spacing w:val="5"/>
        </w:rPr>
        <w:t xml:space="preserve"> </w:t>
      </w:r>
      <w:r>
        <w:rPr>
          <w:spacing w:val="10"/>
        </w:rPr>
        <w:t>和</w:t>
      </w:r>
      <w:r>
        <w:rPr>
          <w:rFonts w:ascii="Times New Roman" w:hAnsi="Times New Roman" w:eastAsia="Times New Roman" w:cs="Times New Roman"/>
          <w:spacing w:val="10"/>
        </w:rPr>
        <w:t>/</w:t>
      </w:r>
      <w:r>
        <w:rPr>
          <w:spacing w:val="10"/>
        </w:rPr>
        <w:t>或食品添加剂作为辅料制成商品化产品</w:t>
      </w:r>
      <w:r>
        <w:rPr>
          <w:spacing w:val="10"/>
          <w:sz w:val="20"/>
          <w:szCs w:val="20"/>
        </w:rPr>
        <w:t>，</w:t>
      </w:r>
      <w:r>
        <w:rPr>
          <w:spacing w:val="9"/>
        </w:rPr>
        <w:t>并明确商品化产品</w:t>
      </w:r>
      <w:r>
        <w:t xml:space="preserve"> </w:t>
      </w:r>
      <w:r>
        <w:rPr>
          <w:spacing w:val="6"/>
        </w:rPr>
        <w:t>的具体质量控制要求。</w:t>
      </w:r>
    </w:p>
    <w:p>
      <w:pPr>
        <w:spacing w:before="50" w:line="229" w:lineRule="auto"/>
        <w:ind w:left="666"/>
        <w:rPr>
          <w:rFonts w:ascii="楷体" w:hAnsi="楷体" w:eastAsia="楷体" w:cs="楷体"/>
          <w:sz w:val="31"/>
          <w:szCs w:val="31"/>
        </w:rPr>
      </w:pPr>
      <w:r>
        <w:rPr>
          <w:rFonts w:ascii="楷体" w:hAnsi="楷体" w:eastAsia="楷体" w:cs="楷体"/>
          <w:spacing w:val="2"/>
          <w:sz w:val="31"/>
          <w:szCs w:val="31"/>
        </w:rPr>
        <w:t>（四）清场</w:t>
      </w:r>
    </w:p>
    <w:p>
      <w:pPr>
        <w:pStyle w:val="2"/>
        <w:spacing w:before="209" w:line="339" w:lineRule="auto"/>
        <w:ind w:firstLine="638"/>
      </w:pPr>
      <w:r>
        <w:rPr>
          <w:spacing w:val="9"/>
        </w:rPr>
        <w:t>建立并执行清场制度，每批产品生产结束后应当按要求进</w:t>
      </w:r>
      <w:r>
        <w:rPr>
          <w:spacing w:val="12"/>
        </w:rPr>
        <w:t xml:space="preserve"> </w:t>
      </w:r>
      <w:r>
        <w:rPr>
          <w:spacing w:val="9"/>
        </w:rPr>
        <w:t>行清场，并对清场情况进行验收，确保食品添加剂不受污染。</w:t>
      </w:r>
    </w:p>
    <w:p>
      <w:pPr>
        <w:spacing w:line="339" w:lineRule="auto"/>
        <w:sectPr>
          <w:footerReference r:id="rId20" w:type="default"/>
          <w:pgSz w:w="12240" w:h="15840"/>
          <w:pgMar w:top="1346" w:right="1800" w:bottom="897" w:left="1812" w:header="0" w:footer="723" w:gutter="0"/>
          <w:cols w:space="720" w:num="1"/>
        </w:sectPr>
      </w:pPr>
    </w:p>
    <w:p>
      <w:pPr>
        <w:pStyle w:val="2"/>
        <w:spacing w:before="322" w:line="344" w:lineRule="auto"/>
        <w:ind w:left="3" w:firstLine="1"/>
        <w:jc w:val="both"/>
      </w:pPr>
      <w:r>
        <w:rPr>
          <w:spacing w:val="9"/>
        </w:rPr>
        <w:t>确需共线生产的，应当明确清洁消毒要求，在产品切换时对生</w:t>
      </w:r>
      <w:r>
        <w:rPr>
          <w:spacing w:val="12"/>
        </w:rPr>
        <w:t xml:space="preserve"> </w:t>
      </w:r>
      <w:r>
        <w:rPr>
          <w:spacing w:val="9"/>
        </w:rPr>
        <w:t>产线或生产设备进行清洁消毒，并验证清洁消毒效果，防止交</w:t>
      </w:r>
      <w:r>
        <w:rPr>
          <w:spacing w:val="13"/>
        </w:rPr>
        <w:t xml:space="preserve"> </w:t>
      </w:r>
      <w:r>
        <w:rPr>
          <w:spacing w:val="4"/>
        </w:rPr>
        <w:t>叉污染。</w:t>
      </w:r>
    </w:p>
    <w:p>
      <w:pPr>
        <w:spacing w:before="46" w:line="229" w:lineRule="auto"/>
        <w:ind w:left="670"/>
        <w:rPr>
          <w:rFonts w:ascii="楷体" w:hAnsi="楷体" w:eastAsia="楷体" w:cs="楷体"/>
          <w:sz w:val="31"/>
          <w:szCs w:val="31"/>
        </w:rPr>
      </w:pPr>
      <w:r>
        <w:rPr>
          <w:rFonts w:ascii="楷体" w:hAnsi="楷体" w:eastAsia="楷体" w:cs="楷体"/>
          <w:spacing w:val="5"/>
          <w:sz w:val="31"/>
          <w:szCs w:val="31"/>
        </w:rPr>
        <w:t>（五）致敏原管理</w:t>
      </w:r>
    </w:p>
    <w:p>
      <w:pPr>
        <w:pStyle w:val="2"/>
        <w:spacing w:before="211" w:line="338" w:lineRule="auto"/>
        <w:ind w:left="16" w:right="2" w:firstLine="632"/>
      </w:pPr>
      <w:r>
        <w:rPr>
          <w:spacing w:val="9"/>
        </w:rPr>
        <w:t>鼓励企业制定并执行致敏源管理制度，采取措施预防食品</w:t>
      </w:r>
      <w:r>
        <w:rPr>
          <w:spacing w:val="4"/>
        </w:rPr>
        <w:t xml:space="preserve"> </w:t>
      </w:r>
      <w:r>
        <w:rPr>
          <w:spacing w:val="7"/>
        </w:rPr>
        <w:t>添加剂生产过程中致敏物质交叉污染。</w:t>
      </w:r>
    </w:p>
    <w:p>
      <w:pPr>
        <w:pStyle w:val="2"/>
        <w:spacing w:before="52" w:line="346" w:lineRule="auto"/>
        <w:ind w:left="3" w:firstLine="640"/>
      </w:pPr>
      <w:r>
        <w:rPr>
          <w:rFonts w:ascii="黑体" w:hAnsi="黑体" w:eastAsia="黑体" w:cs="黑体"/>
          <w:spacing w:val="9"/>
        </w:rPr>
        <w:t xml:space="preserve">第三十六条  </w:t>
      </w:r>
      <w:r>
        <w:rPr>
          <w:spacing w:val="9"/>
        </w:rPr>
        <w:t>建立并执行清洁消毒制度。应当根据原料、</w:t>
      </w:r>
      <w:r>
        <w:rPr>
          <w:spacing w:val="1"/>
        </w:rPr>
        <w:t xml:space="preserve"> </w:t>
      </w:r>
      <w:r>
        <w:rPr>
          <w:spacing w:val="9"/>
        </w:rPr>
        <w:t>产品和工艺的特点，选择适合的洗涤剂、消毒剂，并针对生产</w:t>
      </w:r>
      <w:r>
        <w:rPr>
          <w:spacing w:val="13"/>
        </w:rPr>
        <w:t xml:space="preserve"> </w:t>
      </w:r>
      <w:r>
        <w:rPr>
          <w:spacing w:val="9"/>
        </w:rPr>
        <w:t>设备和环境制定并执行清洁消毒制度，并做好相关记录，保证</w:t>
      </w:r>
      <w:r>
        <w:rPr>
          <w:spacing w:val="13"/>
        </w:rPr>
        <w:t xml:space="preserve"> </w:t>
      </w:r>
      <w:r>
        <w:rPr>
          <w:spacing w:val="8"/>
        </w:rPr>
        <w:t>生产场所、设备和设施等清洁卫生。</w:t>
      </w:r>
    </w:p>
    <w:p>
      <w:pPr>
        <w:pStyle w:val="2"/>
        <w:spacing w:before="54" w:line="221" w:lineRule="auto"/>
        <w:ind w:left="664"/>
      </w:pPr>
      <w:r>
        <w:rPr>
          <w:spacing w:val="8"/>
        </w:rPr>
        <w:t>洗涤剂、消毒剂的配制、使用方法应当符合相关规定。</w:t>
      </w:r>
    </w:p>
    <w:p>
      <w:pPr>
        <w:pStyle w:val="2"/>
        <w:spacing w:before="216" w:line="349" w:lineRule="auto"/>
        <w:ind w:firstLine="644"/>
      </w:pPr>
      <w:r>
        <w:rPr>
          <w:rFonts w:ascii="黑体" w:hAnsi="黑体" w:eastAsia="黑体" w:cs="黑体"/>
          <w:spacing w:val="9"/>
        </w:rPr>
        <w:t xml:space="preserve">第三十七条  </w:t>
      </w:r>
      <w:r>
        <w:rPr>
          <w:spacing w:val="9"/>
        </w:rPr>
        <w:t>建立并执行检验管理制度。应当包括原料检</w:t>
      </w:r>
      <w:r>
        <w:rPr>
          <w:spacing w:val="1"/>
        </w:rPr>
        <w:t xml:space="preserve"> </w:t>
      </w:r>
      <w:r>
        <w:rPr>
          <w:spacing w:val="7"/>
        </w:rPr>
        <w:t>验、过程检验、</w:t>
      </w:r>
      <w:r>
        <w:rPr>
          <w:spacing w:val="-87"/>
        </w:rPr>
        <w:t xml:space="preserve"> </w:t>
      </w:r>
      <w:r>
        <w:rPr>
          <w:spacing w:val="7"/>
        </w:rPr>
        <w:t>出厂检验及检验记录、产品留样管理要求。企</w:t>
      </w:r>
      <w:r>
        <w:t xml:space="preserve"> </w:t>
      </w:r>
      <w:r>
        <w:rPr>
          <w:spacing w:val="9"/>
        </w:rPr>
        <w:t>业应当按照食品安全国家标准、国务院卫生行政部门公告规定</w:t>
      </w:r>
      <w:r>
        <w:rPr>
          <w:spacing w:val="16"/>
        </w:rPr>
        <w:t xml:space="preserve"> </w:t>
      </w:r>
      <w:r>
        <w:rPr>
          <w:spacing w:val="9"/>
        </w:rPr>
        <w:t>的项目对所生产的食品添加剂出厂逐批检验，确保食品添加剂</w:t>
      </w:r>
      <w:r>
        <w:rPr>
          <w:spacing w:val="16"/>
        </w:rPr>
        <w:t xml:space="preserve"> </w:t>
      </w:r>
      <w:r>
        <w:rPr>
          <w:spacing w:val="9"/>
        </w:rPr>
        <w:t>检验合格后出厂检验记录、产品留样妥善保存。过程检验包括</w:t>
      </w:r>
      <w:r>
        <w:rPr>
          <w:spacing w:val="16"/>
        </w:rPr>
        <w:t xml:space="preserve"> </w:t>
      </w:r>
      <w:r>
        <w:rPr>
          <w:spacing w:val="8"/>
        </w:rPr>
        <w:t>但不限于对半成品质量安全指标的监测。</w:t>
      </w:r>
    </w:p>
    <w:p>
      <w:pPr>
        <w:pStyle w:val="2"/>
        <w:spacing w:before="52" w:line="341" w:lineRule="auto"/>
        <w:ind w:left="7" w:firstLine="629"/>
      </w:pPr>
      <w:r>
        <w:rPr>
          <w:spacing w:val="1"/>
        </w:rPr>
        <w:t>（</w:t>
      </w:r>
      <w:r>
        <w:rPr>
          <w:spacing w:val="-79"/>
        </w:rPr>
        <w:t xml:space="preserve"> </w:t>
      </w:r>
      <w:r>
        <w:rPr>
          <w:spacing w:val="1"/>
        </w:rPr>
        <w:t>一）</w:t>
      </w:r>
      <w:r>
        <w:rPr>
          <w:spacing w:val="-88"/>
        </w:rPr>
        <w:t xml:space="preserve"> </w:t>
      </w:r>
      <w:r>
        <w:rPr>
          <w:rFonts w:ascii="楷体" w:hAnsi="楷体" w:eastAsia="楷体" w:cs="楷体"/>
          <w:spacing w:val="1"/>
        </w:rPr>
        <w:t>自行检验。</w:t>
      </w:r>
      <w:r>
        <w:rPr>
          <w:rFonts w:ascii="楷体" w:hAnsi="楷体" w:eastAsia="楷体" w:cs="楷体"/>
          <w:spacing w:val="-80"/>
        </w:rPr>
        <w:t xml:space="preserve"> </w:t>
      </w:r>
      <w:r>
        <w:rPr>
          <w:spacing w:val="1"/>
        </w:rPr>
        <w:t>自行检验的企业应当具备与所检</w:t>
      </w:r>
      <w:r>
        <w:t xml:space="preserve">项目相 </w:t>
      </w:r>
      <w:r>
        <w:rPr>
          <w:spacing w:val="7"/>
        </w:rPr>
        <w:t>适应的检验室和检验能力，</w:t>
      </w:r>
      <w:r>
        <w:rPr>
          <w:spacing w:val="-86"/>
        </w:rPr>
        <w:t xml:space="preserve"> </w:t>
      </w:r>
      <w:r>
        <w:rPr>
          <w:spacing w:val="7"/>
        </w:rPr>
        <w:t>由具有相应资质的检</w:t>
      </w:r>
      <w:r>
        <w:rPr>
          <w:spacing w:val="6"/>
        </w:rPr>
        <w:t>验人员按规定</w:t>
      </w:r>
      <w:r>
        <w:t xml:space="preserve"> </w:t>
      </w:r>
      <w:r>
        <w:rPr>
          <w:spacing w:val="6"/>
        </w:rPr>
        <w:t>的检验方法检验。</w:t>
      </w:r>
    </w:p>
    <w:p>
      <w:pPr>
        <w:pStyle w:val="2"/>
        <w:spacing w:before="67" w:line="220" w:lineRule="auto"/>
        <w:jc w:val="right"/>
      </w:pPr>
      <w:r>
        <w:rPr>
          <w:spacing w:val="9"/>
        </w:rPr>
        <w:t>使用快速检测方法的，应当定期与食品安全国家标准、国</w:t>
      </w:r>
    </w:p>
    <w:p>
      <w:pPr>
        <w:spacing w:line="220" w:lineRule="auto"/>
        <w:sectPr>
          <w:footerReference r:id="rId21" w:type="default"/>
          <w:pgSz w:w="12240" w:h="15840"/>
          <w:pgMar w:top="1346" w:right="1800" w:bottom="895" w:left="1808" w:header="0" w:footer="724" w:gutter="0"/>
          <w:cols w:space="720" w:num="1"/>
        </w:sectPr>
      </w:pPr>
    </w:p>
    <w:p>
      <w:pPr>
        <w:pStyle w:val="2"/>
        <w:spacing w:before="321" w:line="346" w:lineRule="auto"/>
        <w:ind w:firstLine="10"/>
        <w:jc w:val="both"/>
      </w:pPr>
      <w:r>
        <w:rPr>
          <w:spacing w:val="9"/>
        </w:rPr>
        <w:t>务院卫生行政部门公告规定的检验方法进行比对或验证，保证</w:t>
      </w:r>
      <w:r>
        <w:rPr>
          <w:spacing w:val="4"/>
        </w:rPr>
        <w:t xml:space="preserve"> </w:t>
      </w:r>
      <w:r>
        <w:rPr>
          <w:spacing w:val="6"/>
        </w:rPr>
        <w:t>检测结果准确。</w:t>
      </w:r>
      <w:r>
        <w:rPr>
          <w:spacing w:val="-58"/>
        </w:rPr>
        <w:t xml:space="preserve"> </w:t>
      </w:r>
      <w:r>
        <w:rPr>
          <w:spacing w:val="6"/>
        </w:rPr>
        <w:t>当快速检测方法检测结果显示异常时，应当使</w:t>
      </w:r>
      <w:r>
        <w:t xml:space="preserve"> </w:t>
      </w:r>
      <w:r>
        <w:rPr>
          <w:spacing w:val="9"/>
        </w:rPr>
        <w:t>用食品安全国家标准、国务院卫生行政部门公告规定的检验方</w:t>
      </w:r>
      <w:r>
        <w:rPr>
          <w:spacing w:val="17"/>
        </w:rPr>
        <w:t xml:space="preserve"> </w:t>
      </w:r>
      <w:r>
        <w:rPr>
          <w:spacing w:val="6"/>
        </w:rPr>
        <w:t>法进行验证。</w:t>
      </w:r>
    </w:p>
    <w:p>
      <w:pPr>
        <w:pStyle w:val="2"/>
        <w:spacing w:before="51" w:line="287" w:lineRule="auto"/>
        <w:ind w:left="31" w:right="2" w:firstLine="605"/>
      </w:pPr>
      <w:r>
        <w:rPr>
          <w:spacing w:val="6"/>
        </w:rPr>
        <w:t>（</w:t>
      </w:r>
      <w:r>
        <w:rPr>
          <w:spacing w:val="-65"/>
        </w:rPr>
        <w:t xml:space="preserve"> </w:t>
      </w:r>
      <w:r>
        <w:rPr>
          <w:spacing w:val="6"/>
        </w:rPr>
        <w:t>二）</w:t>
      </w:r>
      <w:r>
        <w:rPr>
          <w:rFonts w:ascii="楷体" w:hAnsi="楷体" w:eastAsia="楷体" w:cs="楷体"/>
          <w:spacing w:val="6"/>
        </w:rPr>
        <w:t>委托检验。</w:t>
      </w:r>
      <w:r>
        <w:rPr>
          <w:spacing w:val="6"/>
        </w:rPr>
        <w:t>不能自行检验的，可委托具有检验资质</w:t>
      </w:r>
      <w:r>
        <w:t xml:space="preserve"> </w:t>
      </w:r>
      <w:r>
        <w:rPr>
          <w:spacing w:val="7"/>
        </w:rPr>
        <w:t>的第三方检测机构进行检验，并妥善保存检验报告。</w:t>
      </w:r>
    </w:p>
    <w:p>
      <w:pPr>
        <w:pStyle w:val="2"/>
        <w:spacing w:before="226" w:line="309" w:lineRule="auto"/>
        <w:ind w:left="5" w:firstLine="631"/>
      </w:pPr>
      <w:r>
        <w:rPr>
          <w:spacing w:val="6"/>
        </w:rPr>
        <w:t>（</w:t>
      </w:r>
      <w:r>
        <w:rPr>
          <w:spacing w:val="-65"/>
        </w:rPr>
        <w:t xml:space="preserve"> </w:t>
      </w:r>
      <w:r>
        <w:rPr>
          <w:spacing w:val="6"/>
        </w:rPr>
        <w:t>三）</w:t>
      </w:r>
      <w:r>
        <w:rPr>
          <w:rFonts w:ascii="楷体" w:hAnsi="楷体" w:eastAsia="楷体" w:cs="楷体"/>
          <w:spacing w:val="6"/>
        </w:rPr>
        <w:t>检验记录。</w:t>
      </w:r>
      <w:r>
        <w:rPr>
          <w:spacing w:val="6"/>
        </w:rPr>
        <w:t>应当妥善保存各项检验的原始记录和检</w:t>
      </w:r>
      <w:r>
        <w:t xml:space="preserve"> </w:t>
      </w:r>
      <w:r>
        <w:rPr>
          <w:spacing w:val="9"/>
        </w:rPr>
        <w:t>验报告，检验记录和报告保存期限不得少于产品保质期满后六</w:t>
      </w:r>
      <w:r>
        <w:rPr>
          <w:spacing w:val="11"/>
        </w:rPr>
        <w:t xml:space="preserve"> </w:t>
      </w:r>
      <w:r>
        <w:rPr>
          <w:spacing w:val="9"/>
        </w:rPr>
        <w:t>个月；没有明确保质期的，保存期限不得少于</w:t>
      </w:r>
      <w:r>
        <w:rPr>
          <w:spacing w:val="8"/>
        </w:rPr>
        <w:t>二年。</w:t>
      </w:r>
    </w:p>
    <w:p>
      <w:pPr>
        <w:pStyle w:val="2"/>
        <w:spacing w:before="224" w:line="338" w:lineRule="auto"/>
        <w:ind w:firstLine="648"/>
      </w:pPr>
      <w:r>
        <w:rPr>
          <w:spacing w:val="9"/>
        </w:rPr>
        <w:t>在线检测项目和自动检验项目的记录应当有数据采集和保</w:t>
      </w:r>
      <w:r>
        <w:rPr>
          <w:spacing w:val="6"/>
        </w:rPr>
        <w:t xml:space="preserve"> </w:t>
      </w:r>
      <w:r>
        <w:rPr>
          <w:spacing w:val="5"/>
        </w:rPr>
        <w:t>存记录。</w:t>
      </w:r>
    </w:p>
    <w:p>
      <w:pPr>
        <w:pStyle w:val="2"/>
        <w:spacing w:before="52" w:line="347" w:lineRule="auto"/>
        <w:ind w:left="3" w:firstLine="632"/>
        <w:jc w:val="both"/>
      </w:pPr>
      <w:r>
        <w:rPr>
          <w:spacing w:val="6"/>
        </w:rPr>
        <w:t>（</w:t>
      </w:r>
      <w:r>
        <w:rPr>
          <w:spacing w:val="-62"/>
        </w:rPr>
        <w:t xml:space="preserve"> </w:t>
      </w:r>
      <w:r>
        <w:rPr>
          <w:spacing w:val="6"/>
        </w:rPr>
        <w:t>四）</w:t>
      </w:r>
      <w:r>
        <w:rPr>
          <w:rFonts w:ascii="楷体" w:hAnsi="楷体" w:eastAsia="楷体" w:cs="楷体"/>
          <w:spacing w:val="6"/>
        </w:rPr>
        <w:t>产品留样</w:t>
      </w:r>
      <w:r>
        <w:rPr>
          <w:spacing w:val="6"/>
        </w:rPr>
        <w:t>。企业应当按规定保存每批食品添加剂出</w:t>
      </w:r>
      <w:r>
        <w:t xml:space="preserve"> </w:t>
      </w:r>
      <w:r>
        <w:rPr>
          <w:spacing w:val="7"/>
        </w:rPr>
        <w:t>厂检验留存样品，产品留样间应当满足产品贮存条件要求，</w:t>
      </w:r>
      <w:r>
        <w:rPr>
          <w:spacing w:val="-88"/>
        </w:rPr>
        <w:t xml:space="preserve"> </w:t>
      </w:r>
      <w:r>
        <w:rPr>
          <w:spacing w:val="7"/>
        </w:rPr>
        <w:t>留</w:t>
      </w:r>
      <w:r>
        <w:t xml:space="preserve"> </w:t>
      </w:r>
      <w:r>
        <w:rPr>
          <w:spacing w:val="9"/>
        </w:rPr>
        <w:t>样数量应当满足复检要求，产品留样保存期限不得少于产品保</w:t>
      </w:r>
      <w:r>
        <w:rPr>
          <w:spacing w:val="13"/>
        </w:rPr>
        <w:t xml:space="preserve"> </w:t>
      </w:r>
      <w:r>
        <w:rPr>
          <w:spacing w:val="9"/>
        </w:rPr>
        <w:t>质期，对过期产品进行科学处置并如实、完整记录留样及过期</w:t>
      </w:r>
      <w:r>
        <w:rPr>
          <w:spacing w:val="13"/>
        </w:rPr>
        <w:t xml:space="preserve"> </w:t>
      </w:r>
      <w:r>
        <w:rPr>
          <w:spacing w:val="7"/>
        </w:rPr>
        <w:t>产品处置相关信息。</w:t>
      </w:r>
    </w:p>
    <w:p>
      <w:pPr>
        <w:pStyle w:val="2"/>
        <w:spacing w:before="56" w:line="345" w:lineRule="auto"/>
        <w:ind w:left="17" w:firstLine="636"/>
        <w:jc w:val="both"/>
      </w:pPr>
      <w:r>
        <w:rPr>
          <w:spacing w:val="9"/>
        </w:rPr>
        <w:t>无法以最小销售单元形式留样的大包装、无包装等特殊形</w:t>
      </w:r>
      <w:r>
        <w:t xml:space="preserve"> </w:t>
      </w:r>
      <w:r>
        <w:rPr>
          <w:spacing w:val="6"/>
        </w:rPr>
        <w:t>态产品留样方式由企业自行确定，</w:t>
      </w:r>
      <w:r>
        <w:rPr>
          <w:spacing w:val="-75"/>
        </w:rPr>
        <w:t xml:space="preserve"> </w:t>
      </w:r>
      <w:r>
        <w:rPr>
          <w:spacing w:val="6"/>
        </w:rPr>
        <w:t>留样应当加贴完整的产品标</w:t>
      </w:r>
      <w:r>
        <w:t xml:space="preserve"> </w:t>
      </w:r>
      <w:r>
        <w:rPr>
          <w:spacing w:val="-9"/>
        </w:rPr>
        <w:t>识。</w:t>
      </w:r>
    </w:p>
    <w:p>
      <w:pPr>
        <w:pStyle w:val="2"/>
        <w:spacing w:before="44" w:line="336" w:lineRule="auto"/>
        <w:ind w:left="3" w:firstLine="640"/>
      </w:pPr>
      <w:r>
        <w:rPr>
          <w:rFonts w:ascii="黑体" w:hAnsi="黑体" w:eastAsia="黑体" w:cs="黑体"/>
          <w:spacing w:val="9"/>
        </w:rPr>
        <w:t xml:space="preserve">第三十八条  </w:t>
      </w:r>
      <w:r>
        <w:rPr>
          <w:spacing w:val="9"/>
        </w:rPr>
        <w:t>建立并执行产品运输和交付管理制度。根据</w:t>
      </w:r>
      <w:r>
        <w:rPr>
          <w:spacing w:val="1"/>
        </w:rPr>
        <w:t xml:space="preserve"> </w:t>
      </w:r>
      <w:r>
        <w:rPr>
          <w:spacing w:val="9"/>
        </w:rPr>
        <w:t>产品的特点和卫生要求，选择适宜的运输条件，明确产品交付</w:t>
      </w:r>
    </w:p>
    <w:p>
      <w:pPr>
        <w:spacing w:line="336" w:lineRule="auto"/>
        <w:sectPr>
          <w:footerReference r:id="rId22" w:type="default"/>
          <w:pgSz w:w="12240" w:h="15840"/>
          <w:pgMar w:top="1346" w:right="1800" w:bottom="897" w:left="1808" w:header="0" w:footer="723" w:gutter="0"/>
          <w:cols w:space="720" w:num="1"/>
        </w:sectPr>
      </w:pPr>
    </w:p>
    <w:p>
      <w:pPr>
        <w:pStyle w:val="2"/>
        <w:spacing w:before="323" w:line="222" w:lineRule="auto"/>
      </w:pPr>
      <w:r>
        <w:rPr>
          <w:spacing w:val="6"/>
        </w:rPr>
        <w:t>相关要求。</w:t>
      </w:r>
    </w:p>
    <w:p>
      <w:pPr>
        <w:pStyle w:val="2"/>
        <w:spacing w:before="219" w:line="345" w:lineRule="auto"/>
        <w:ind w:left="18" w:right="83" w:firstLine="623"/>
        <w:jc w:val="both"/>
      </w:pPr>
      <w:r>
        <w:rPr>
          <w:spacing w:val="9"/>
        </w:rPr>
        <w:t>属于危险化学品、易制毒化学品、精神药品等对运输和交</w:t>
      </w:r>
      <w:r>
        <w:rPr>
          <w:spacing w:val="13"/>
        </w:rPr>
        <w:t xml:space="preserve"> </w:t>
      </w:r>
      <w:r>
        <w:rPr>
          <w:spacing w:val="9"/>
        </w:rPr>
        <w:t>付有特殊要求的，运输和交付管理要求应当符合国</w:t>
      </w:r>
      <w:r>
        <w:rPr>
          <w:spacing w:val="8"/>
        </w:rPr>
        <w:t>家相关部门</w:t>
      </w:r>
      <w:r>
        <w:t xml:space="preserve"> 的规定。</w:t>
      </w:r>
    </w:p>
    <w:p>
      <w:pPr>
        <w:pStyle w:val="2"/>
        <w:spacing w:before="41" w:line="348" w:lineRule="auto"/>
        <w:ind w:left="8" w:firstLine="635"/>
        <w:jc w:val="both"/>
      </w:pPr>
      <w:r>
        <w:rPr>
          <w:rFonts w:ascii="黑体" w:hAnsi="黑体" w:eastAsia="黑体" w:cs="黑体"/>
          <w:spacing w:val="9"/>
        </w:rPr>
        <w:t xml:space="preserve">第三十九条  </w:t>
      </w:r>
      <w:r>
        <w:rPr>
          <w:spacing w:val="9"/>
        </w:rPr>
        <w:t>建立并执行食品安全追溯制度。如实记录原</w:t>
      </w:r>
      <w:r>
        <w:rPr>
          <w:spacing w:val="1"/>
        </w:rPr>
        <w:t xml:space="preserve"> 料采购与验收、生产过程、产品检验、出厂销售等全过程</w:t>
      </w:r>
      <w:r>
        <w:t xml:space="preserve">信息， </w:t>
      </w:r>
      <w:r>
        <w:rPr>
          <w:spacing w:val="9"/>
        </w:rPr>
        <w:t>实现产品有效追溯。企业应当合理设定产品批次，建立批生产</w:t>
      </w:r>
      <w:r>
        <w:rPr>
          <w:spacing w:val="5"/>
        </w:rPr>
        <w:t xml:space="preserve"> </w:t>
      </w:r>
      <w:r>
        <w:rPr>
          <w:spacing w:val="9"/>
        </w:rPr>
        <w:t>记录，如实记录投料的原料名称、投料数量、产品批号、投料</w:t>
      </w:r>
      <w:r>
        <w:rPr>
          <w:spacing w:val="7"/>
        </w:rPr>
        <w:t xml:space="preserve"> </w:t>
      </w:r>
      <w:r>
        <w:rPr>
          <w:spacing w:val="5"/>
        </w:rPr>
        <w:t>日期等信息。</w:t>
      </w:r>
    </w:p>
    <w:p>
      <w:pPr>
        <w:pStyle w:val="2"/>
        <w:spacing w:before="51" w:line="336" w:lineRule="auto"/>
        <w:ind w:left="43" w:right="86" w:firstLine="600"/>
      </w:pPr>
      <w:r>
        <w:rPr>
          <w:rFonts w:ascii="黑体" w:hAnsi="黑体" w:eastAsia="黑体" w:cs="黑体"/>
          <w:spacing w:val="9"/>
        </w:rPr>
        <w:t xml:space="preserve">第四十条  </w:t>
      </w:r>
      <w:r>
        <w:rPr>
          <w:spacing w:val="9"/>
        </w:rPr>
        <w:t>建立并执行食品安全自查制度。企业应当</w:t>
      </w:r>
      <w:r>
        <w:rPr>
          <w:spacing w:val="8"/>
        </w:rPr>
        <w:t>对食</w:t>
      </w:r>
      <w:r>
        <w:t xml:space="preserve"> </w:t>
      </w:r>
      <w:r>
        <w:rPr>
          <w:spacing w:val="7"/>
        </w:rPr>
        <w:t>品添加剂生产安全状况进行检查评价，并规定自查频次。</w:t>
      </w:r>
    </w:p>
    <w:p>
      <w:pPr>
        <w:pStyle w:val="2"/>
        <w:spacing w:before="58" w:line="339" w:lineRule="auto"/>
        <w:ind w:left="13" w:right="84" w:firstLine="688"/>
      </w:pPr>
      <w:r>
        <w:rPr>
          <w:spacing w:val="7"/>
        </w:rPr>
        <w:t>自查内容应当包括：原料进货查验情况、生产过程控制情</w:t>
      </w:r>
      <w:r>
        <w:rPr>
          <w:spacing w:val="2"/>
        </w:rPr>
        <w:t xml:space="preserve"> </w:t>
      </w:r>
      <w:r>
        <w:rPr>
          <w:spacing w:val="8"/>
        </w:rPr>
        <w:t>况、人员管理情况、检验管理情况、记录及文件管理情况等。</w:t>
      </w:r>
    </w:p>
    <w:p>
      <w:pPr>
        <w:pStyle w:val="2"/>
        <w:spacing w:before="50" w:line="347" w:lineRule="auto"/>
        <w:ind w:left="2" w:right="83" w:firstLine="642"/>
      </w:pPr>
      <w:r>
        <w:rPr>
          <w:rFonts w:ascii="黑体" w:hAnsi="黑体" w:eastAsia="黑体" w:cs="黑体"/>
          <w:spacing w:val="9"/>
        </w:rPr>
        <w:t xml:space="preserve">第四十一条  </w:t>
      </w:r>
      <w:r>
        <w:rPr>
          <w:spacing w:val="9"/>
        </w:rPr>
        <w:t>建立并执行不合格品管理及不安全食品添加</w:t>
      </w:r>
      <w:r>
        <w:t xml:space="preserve"> </w:t>
      </w:r>
      <w:r>
        <w:rPr>
          <w:spacing w:val="9"/>
        </w:rPr>
        <w:t>剂产品召回制度。企业应当明确对在验收和生产过程中发现的</w:t>
      </w:r>
      <w:r>
        <w:rPr>
          <w:spacing w:val="14"/>
        </w:rPr>
        <w:t xml:space="preserve"> </w:t>
      </w:r>
      <w:r>
        <w:rPr>
          <w:spacing w:val="9"/>
        </w:rPr>
        <w:t>不合格原料、半成品和成品进行标识、贮存和处置措施，不合</w:t>
      </w:r>
      <w:r>
        <w:rPr>
          <w:spacing w:val="14"/>
        </w:rPr>
        <w:t xml:space="preserve"> </w:t>
      </w:r>
      <w:r>
        <w:rPr>
          <w:spacing w:val="9"/>
        </w:rPr>
        <w:t>格品应当与合格品分开放置并明显标记。如实、完整记录不合</w:t>
      </w:r>
      <w:r>
        <w:rPr>
          <w:spacing w:val="11"/>
        </w:rPr>
        <w:t xml:space="preserve"> </w:t>
      </w:r>
      <w:r>
        <w:rPr>
          <w:spacing w:val="7"/>
        </w:rPr>
        <w:t>格品保存和处理情况。</w:t>
      </w:r>
    </w:p>
    <w:p>
      <w:pPr>
        <w:pStyle w:val="2"/>
        <w:spacing w:before="57" w:line="344" w:lineRule="auto"/>
        <w:ind w:left="5" w:right="83" w:firstLine="642"/>
        <w:jc w:val="both"/>
      </w:pPr>
      <w:r>
        <w:rPr>
          <w:spacing w:val="9"/>
        </w:rPr>
        <w:t>企业应当对召回的食品添加剂采取补救、无害化处置、销</w:t>
      </w:r>
      <w:r>
        <w:rPr>
          <w:spacing w:val="7"/>
        </w:rPr>
        <w:t xml:space="preserve"> </w:t>
      </w:r>
      <w:r>
        <w:rPr>
          <w:spacing w:val="9"/>
        </w:rPr>
        <w:t>毁等措施，如实记录召回和处置情况，并向所在地县级市场监</w:t>
      </w:r>
      <w:r>
        <w:rPr>
          <w:spacing w:val="11"/>
        </w:rPr>
        <w:t xml:space="preserve"> </w:t>
      </w:r>
      <w:r>
        <w:rPr>
          <w:spacing w:val="5"/>
        </w:rPr>
        <w:t>管部门报告。</w:t>
      </w:r>
    </w:p>
    <w:p>
      <w:pPr>
        <w:spacing w:line="344" w:lineRule="auto"/>
        <w:sectPr>
          <w:footerReference r:id="rId23" w:type="default"/>
          <w:pgSz w:w="12240" w:h="15840"/>
          <w:pgMar w:top="1346" w:right="1716" w:bottom="897" w:left="1808" w:header="0" w:footer="723" w:gutter="0"/>
          <w:cols w:space="720" w:num="1"/>
        </w:sectPr>
      </w:pPr>
    </w:p>
    <w:p>
      <w:pPr>
        <w:pStyle w:val="2"/>
        <w:spacing w:before="323" w:line="346" w:lineRule="auto"/>
        <w:ind w:left="6" w:firstLine="644"/>
        <w:jc w:val="both"/>
      </w:pPr>
      <w:r>
        <w:rPr>
          <w:rFonts w:ascii="黑体" w:hAnsi="黑体" w:eastAsia="黑体" w:cs="黑体"/>
          <w:spacing w:val="9"/>
        </w:rPr>
        <w:t xml:space="preserve">第四十二条  </w:t>
      </w:r>
      <w:r>
        <w:rPr>
          <w:spacing w:val="9"/>
        </w:rPr>
        <w:t>建立并执行食品添加剂标签、说明书管理制</w:t>
      </w:r>
      <w:r>
        <w:rPr>
          <w:spacing w:val="1"/>
        </w:rPr>
        <w:t xml:space="preserve"> </w:t>
      </w:r>
      <w:r>
        <w:rPr>
          <w:spacing w:val="7"/>
        </w:rPr>
        <w:t>度，产品标签、说明书标注的项目、</w:t>
      </w:r>
      <w:r>
        <w:rPr>
          <w:spacing w:val="-84"/>
        </w:rPr>
        <w:t xml:space="preserve"> </w:t>
      </w:r>
      <w:r>
        <w:rPr>
          <w:spacing w:val="7"/>
        </w:rPr>
        <w:t>内容等应当符合法</w:t>
      </w:r>
      <w:r>
        <w:rPr>
          <w:spacing w:val="6"/>
        </w:rPr>
        <w:t>律法规</w:t>
      </w:r>
      <w:r>
        <w:t xml:space="preserve"> </w:t>
      </w:r>
      <w:r>
        <w:rPr>
          <w:spacing w:val="9"/>
        </w:rPr>
        <w:t>及《食品安全国家标准 食品添加剂标识通则》（</w:t>
      </w:r>
      <w:r>
        <w:rPr>
          <w:spacing w:val="-93"/>
        </w:rPr>
        <w:t xml:space="preserve"> </w:t>
      </w:r>
      <w:r>
        <w:rPr>
          <w:rFonts w:ascii="Times New Roman" w:hAnsi="Times New Roman" w:eastAsia="Times New Roman" w:cs="Times New Roman"/>
        </w:rPr>
        <w:t>GB</w:t>
      </w:r>
      <w:r>
        <w:rPr>
          <w:rFonts w:ascii="Times New Roman" w:hAnsi="Times New Roman" w:eastAsia="Times New Roman" w:cs="Times New Roman"/>
          <w:spacing w:val="9"/>
        </w:rPr>
        <w:t xml:space="preserve"> 2992</w:t>
      </w:r>
      <w:r>
        <w:rPr>
          <w:rFonts w:ascii="Times New Roman" w:hAnsi="Times New Roman" w:eastAsia="Times New Roman" w:cs="Times New Roman"/>
          <w:spacing w:val="8"/>
        </w:rPr>
        <w:t>4</w:t>
      </w:r>
      <w:r>
        <w:rPr>
          <w:rFonts w:ascii="Times New Roman" w:hAnsi="Times New Roman" w:eastAsia="Times New Roman" w:cs="Times New Roman"/>
          <w:spacing w:val="-27"/>
        </w:rPr>
        <w:t xml:space="preserve"> </w:t>
      </w:r>
      <w:r>
        <w:rPr>
          <w:spacing w:val="8"/>
        </w:rPr>
        <w:t>）</w:t>
      </w:r>
      <w:r>
        <w:t xml:space="preserve"> </w:t>
      </w:r>
      <w:r>
        <w:rPr>
          <w:spacing w:val="5"/>
        </w:rPr>
        <w:t>等规定。</w:t>
      </w:r>
    </w:p>
    <w:p>
      <w:pPr>
        <w:pStyle w:val="2"/>
        <w:spacing w:before="51" w:line="337" w:lineRule="auto"/>
        <w:ind w:left="8" w:firstLine="647"/>
      </w:pPr>
      <w:r>
        <w:rPr>
          <w:spacing w:val="10"/>
        </w:rPr>
        <w:t>食品添加剂标签应当清晰标示</w:t>
      </w:r>
      <w:r>
        <w:rPr>
          <w:rFonts w:ascii="Times New Roman" w:hAnsi="Times New Roman" w:eastAsia="Times New Roman" w:cs="Times New Roman"/>
          <w:spacing w:val="10"/>
        </w:rPr>
        <w:t>“</w:t>
      </w:r>
      <w:r>
        <w:rPr>
          <w:spacing w:val="10"/>
        </w:rPr>
        <w:t>食品添加剂</w:t>
      </w:r>
      <w:r>
        <w:rPr>
          <w:rFonts w:ascii="Times New Roman" w:hAnsi="Times New Roman" w:eastAsia="Times New Roman" w:cs="Times New Roman"/>
          <w:spacing w:val="10"/>
        </w:rPr>
        <w:t>”</w:t>
      </w:r>
      <w:r>
        <w:rPr>
          <w:spacing w:val="10"/>
        </w:rPr>
        <w:t>字样，面向市</w:t>
      </w:r>
      <w:r>
        <w:rPr>
          <w:spacing w:val="5"/>
        </w:rPr>
        <w:t xml:space="preserve"> </w:t>
      </w:r>
      <w:r>
        <w:rPr>
          <w:spacing w:val="7"/>
        </w:rPr>
        <w:t>场销售的应当注明</w:t>
      </w:r>
      <w:r>
        <w:rPr>
          <w:rFonts w:ascii="Times New Roman" w:hAnsi="Times New Roman" w:eastAsia="Times New Roman" w:cs="Times New Roman"/>
          <w:spacing w:val="7"/>
        </w:rPr>
        <w:t>“</w:t>
      </w:r>
      <w:r>
        <w:rPr>
          <w:spacing w:val="7"/>
        </w:rPr>
        <w:t>零售</w:t>
      </w:r>
      <w:r>
        <w:rPr>
          <w:rFonts w:ascii="Times New Roman" w:hAnsi="Times New Roman" w:eastAsia="Times New Roman" w:cs="Times New Roman"/>
          <w:spacing w:val="7"/>
        </w:rPr>
        <w:t>”</w:t>
      </w:r>
      <w:r>
        <w:rPr>
          <w:spacing w:val="7"/>
        </w:rPr>
        <w:t>字样。</w:t>
      </w:r>
    </w:p>
    <w:p>
      <w:pPr>
        <w:pStyle w:val="2"/>
        <w:spacing w:before="55" w:line="344" w:lineRule="auto"/>
        <w:ind w:firstLine="655"/>
        <w:jc w:val="both"/>
      </w:pPr>
      <w:r>
        <w:rPr>
          <w:spacing w:val="9"/>
        </w:rPr>
        <w:t>食品添加剂标签应当规范标示食品添加剂名称、规格、净</w:t>
      </w:r>
      <w:r>
        <w:rPr>
          <w:spacing w:val="5"/>
        </w:rPr>
        <w:t xml:space="preserve"> </w:t>
      </w:r>
      <w:r>
        <w:rPr>
          <w:spacing w:val="10"/>
        </w:rPr>
        <w:t>含量、生产日期、贮存条件、生产者信息、生产许</w:t>
      </w:r>
      <w:r>
        <w:rPr>
          <w:spacing w:val="9"/>
        </w:rPr>
        <w:t>可证编号等</w:t>
      </w:r>
      <w:r>
        <w:t xml:space="preserve"> </w:t>
      </w:r>
      <w:r>
        <w:rPr>
          <w:spacing w:val="5"/>
        </w:rPr>
        <w:t>信息。</w:t>
      </w:r>
    </w:p>
    <w:p>
      <w:pPr>
        <w:pStyle w:val="2"/>
        <w:spacing w:before="53" w:line="349" w:lineRule="auto"/>
        <w:ind w:left="4" w:firstLine="651"/>
      </w:pPr>
      <w:r>
        <w:rPr>
          <w:spacing w:val="9"/>
        </w:rPr>
        <w:t>食品添加剂标签和说明书应当准确标示使用范围、用量和</w:t>
      </w:r>
      <w:r>
        <w:rPr>
          <w:spacing w:val="5"/>
        </w:rPr>
        <w:t xml:space="preserve"> </w:t>
      </w:r>
      <w:r>
        <w:rPr>
          <w:spacing w:val="9"/>
        </w:rPr>
        <w:t>使用方法。使用范围应当严格按照食品安全国家标准或国务院</w:t>
      </w:r>
      <w:r>
        <w:rPr>
          <w:spacing w:val="18"/>
        </w:rPr>
        <w:t xml:space="preserve"> </w:t>
      </w:r>
      <w:r>
        <w:rPr>
          <w:spacing w:val="6"/>
        </w:rPr>
        <w:t>卫生行政部门公告规定具体标示到食品类别或细类，食品类别</w:t>
      </w:r>
      <w:r>
        <w:rPr>
          <w:rFonts w:ascii="Times New Roman" w:hAnsi="Times New Roman" w:eastAsia="Times New Roman" w:cs="Times New Roman"/>
          <w:spacing w:val="6"/>
        </w:rPr>
        <w:t>/</w:t>
      </w:r>
      <w:r>
        <w:rPr>
          <w:rFonts w:ascii="Times New Roman" w:hAnsi="Times New Roman" w:eastAsia="Times New Roman" w:cs="Times New Roman"/>
          <w:spacing w:val="8"/>
        </w:rPr>
        <w:t xml:space="preserve"> </w:t>
      </w:r>
      <w:r>
        <w:rPr>
          <w:spacing w:val="24"/>
        </w:rPr>
        <w:t>名称应当与《食品安全国家标准 食品添加剂使用标准》</w:t>
      </w:r>
      <w:r>
        <w:rPr>
          <w:rFonts w:ascii="Times New Roman" w:hAnsi="Times New Roman" w:eastAsia="Times New Roman" w:cs="Times New Roman"/>
        </w:rPr>
        <w:t>GB</w:t>
      </w:r>
      <w:r>
        <w:rPr>
          <w:rFonts w:ascii="Times New Roman" w:hAnsi="Times New Roman" w:eastAsia="Times New Roman" w:cs="Times New Roman"/>
          <w:spacing w:val="5"/>
        </w:rPr>
        <w:t xml:space="preserve"> </w:t>
      </w:r>
      <w:r>
        <w:rPr>
          <w:rFonts w:ascii="Times New Roman" w:hAnsi="Times New Roman" w:eastAsia="Times New Roman" w:cs="Times New Roman"/>
          <w:spacing w:val="18"/>
        </w:rPr>
        <w:t>2760</w:t>
      </w:r>
      <w:r>
        <w:rPr>
          <w:rFonts w:ascii="Times New Roman" w:hAnsi="Times New Roman" w:eastAsia="Times New Roman" w:cs="Times New Roman"/>
          <w:spacing w:val="-17"/>
        </w:rPr>
        <w:t xml:space="preserve"> </w:t>
      </w:r>
      <w:r>
        <w:rPr>
          <w:spacing w:val="18"/>
        </w:rPr>
        <w:t>、</w:t>
      </w:r>
      <w:r>
        <w:rPr>
          <w:spacing w:val="-133"/>
        </w:rPr>
        <w:t xml:space="preserve"> </w:t>
      </w:r>
      <w:r>
        <w:rPr>
          <w:spacing w:val="18"/>
        </w:rPr>
        <w:t>《食品安全国家标准</w:t>
      </w:r>
      <w:r>
        <w:rPr>
          <w:spacing w:val="55"/>
        </w:rPr>
        <w:t xml:space="preserve"> </w:t>
      </w:r>
      <w:r>
        <w:rPr>
          <w:spacing w:val="18"/>
        </w:rPr>
        <w:t>食品营养强化剂使用标准》</w:t>
      </w:r>
      <w:r>
        <w:rPr>
          <w:rFonts w:ascii="Times New Roman" w:hAnsi="Times New Roman" w:eastAsia="Times New Roman" w:cs="Times New Roman"/>
        </w:rPr>
        <w:t xml:space="preserve">GB </w:t>
      </w:r>
      <w:r>
        <w:rPr>
          <w:rFonts w:ascii="Times New Roman" w:hAnsi="Times New Roman" w:eastAsia="Times New Roman" w:cs="Times New Roman"/>
          <w:spacing w:val="10"/>
        </w:rPr>
        <w:t>14880</w:t>
      </w:r>
      <w:r>
        <w:rPr>
          <w:rFonts w:ascii="Times New Roman" w:hAnsi="Times New Roman" w:eastAsia="Times New Roman" w:cs="Times New Roman"/>
          <w:spacing w:val="-28"/>
        </w:rPr>
        <w:t xml:space="preserve"> </w:t>
      </w:r>
      <w:r>
        <w:rPr>
          <w:spacing w:val="10"/>
          <w:sz w:val="24"/>
          <w:szCs w:val="24"/>
        </w:rPr>
        <w:t>、</w:t>
      </w:r>
      <w:r>
        <w:rPr>
          <w:spacing w:val="10"/>
        </w:rPr>
        <w:t>国务院卫生行政部门公告规定保持一致。不得使用</w:t>
      </w:r>
      <w:r>
        <w:rPr>
          <w:rFonts w:ascii="Times New Roman" w:hAnsi="Times New Roman" w:eastAsia="Times New Roman" w:cs="Times New Roman"/>
          <w:spacing w:val="10"/>
        </w:rPr>
        <w:t>“</w:t>
      </w:r>
      <w:r>
        <w:rPr>
          <w:spacing w:val="10"/>
        </w:rPr>
        <w:t>按</w:t>
      </w:r>
      <w:r>
        <w:t xml:space="preserve"> </w:t>
      </w:r>
      <w:r>
        <w:rPr>
          <w:rFonts w:ascii="Times New Roman" w:hAnsi="Times New Roman" w:eastAsia="Times New Roman" w:cs="Times New Roman"/>
        </w:rPr>
        <w:t>GB</w:t>
      </w:r>
      <w:r>
        <w:rPr>
          <w:rFonts w:ascii="Times New Roman" w:hAnsi="Times New Roman" w:eastAsia="Times New Roman" w:cs="Times New Roman"/>
          <w:spacing w:val="4"/>
        </w:rPr>
        <w:t xml:space="preserve"> 2760</w:t>
      </w:r>
      <w:r>
        <w:rPr>
          <w:rFonts w:ascii="Times New Roman" w:hAnsi="Times New Roman" w:eastAsia="Times New Roman" w:cs="Times New Roman"/>
          <w:spacing w:val="34"/>
        </w:rPr>
        <w:t xml:space="preserve"> </w:t>
      </w:r>
      <w:r>
        <w:rPr>
          <w:spacing w:val="4"/>
        </w:rPr>
        <w:t>规定使用</w:t>
      </w:r>
      <w:r>
        <w:rPr>
          <w:rFonts w:ascii="Times New Roman" w:hAnsi="Times New Roman" w:eastAsia="Times New Roman" w:cs="Times New Roman"/>
          <w:spacing w:val="4"/>
        </w:rPr>
        <w:t>”“</w:t>
      </w:r>
      <w:r>
        <w:rPr>
          <w:spacing w:val="4"/>
        </w:rPr>
        <w:t>按</w:t>
      </w:r>
      <w:r>
        <w:rPr>
          <w:spacing w:val="-62"/>
        </w:rPr>
        <w:t xml:space="preserve"> </w:t>
      </w:r>
      <w:r>
        <w:rPr>
          <w:rFonts w:ascii="Times New Roman" w:hAnsi="Times New Roman" w:eastAsia="Times New Roman" w:cs="Times New Roman"/>
        </w:rPr>
        <w:t>GB</w:t>
      </w:r>
      <w:r>
        <w:rPr>
          <w:rFonts w:ascii="Times New Roman" w:hAnsi="Times New Roman" w:eastAsia="Times New Roman" w:cs="Times New Roman"/>
          <w:spacing w:val="40"/>
        </w:rPr>
        <w:t xml:space="preserve"> </w:t>
      </w:r>
      <w:r>
        <w:rPr>
          <w:rFonts w:ascii="Times New Roman" w:hAnsi="Times New Roman" w:eastAsia="Times New Roman" w:cs="Times New Roman"/>
          <w:spacing w:val="4"/>
        </w:rPr>
        <w:t>14880</w:t>
      </w:r>
      <w:r>
        <w:rPr>
          <w:rFonts w:ascii="Times New Roman" w:hAnsi="Times New Roman" w:eastAsia="Times New Roman" w:cs="Times New Roman"/>
          <w:spacing w:val="28"/>
        </w:rPr>
        <w:t xml:space="preserve"> </w:t>
      </w:r>
      <w:r>
        <w:rPr>
          <w:spacing w:val="4"/>
        </w:rPr>
        <w:t>规定使用</w:t>
      </w:r>
      <w:r>
        <w:rPr>
          <w:rFonts w:ascii="Times New Roman" w:hAnsi="Times New Roman" w:eastAsia="Times New Roman" w:cs="Times New Roman"/>
          <w:spacing w:val="4"/>
        </w:rPr>
        <w:t>”</w:t>
      </w:r>
      <w:r>
        <w:rPr>
          <w:spacing w:val="4"/>
        </w:rPr>
        <w:t>等含糊标示。</w:t>
      </w:r>
    </w:p>
    <w:p>
      <w:pPr>
        <w:pStyle w:val="2"/>
        <w:spacing w:before="54" w:line="338" w:lineRule="auto"/>
        <w:ind w:left="49" w:firstLine="606"/>
      </w:pPr>
      <w:r>
        <w:rPr>
          <w:spacing w:val="9"/>
        </w:rPr>
        <w:t>食品添加剂用量标示单位应当与净含量保持一致，数值应</w:t>
      </w:r>
      <w:r>
        <w:rPr>
          <w:spacing w:val="5"/>
        </w:rPr>
        <w:t xml:space="preserve"> </w:t>
      </w:r>
      <w:r>
        <w:rPr>
          <w:spacing w:val="7"/>
        </w:rPr>
        <w:t>当低于食品安全国家标准规定使用的最大使用量。</w:t>
      </w:r>
    </w:p>
    <w:p>
      <w:pPr>
        <w:pStyle w:val="2"/>
        <w:spacing w:before="53" w:line="344" w:lineRule="auto"/>
        <w:ind w:left="23" w:firstLine="632"/>
      </w:pPr>
      <w:r>
        <w:rPr>
          <w:spacing w:val="9"/>
        </w:rPr>
        <w:t>食品添加剂标签和说明书应当准确标示所执行的食品安全</w:t>
      </w:r>
      <w:r>
        <w:rPr>
          <w:spacing w:val="5"/>
        </w:rPr>
        <w:t xml:space="preserve"> </w:t>
      </w:r>
      <w:r>
        <w:rPr>
          <w:spacing w:val="9"/>
        </w:rPr>
        <w:t>国家标准的标准代号和顺序号、国务院卫生行政部门相关公告</w:t>
      </w:r>
      <w:r>
        <w:t xml:space="preserve"> </w:t>
      </w:r>
      <w:r>
        <w:rPr>
          <w:spacing w:val="-3"/>
        </w:rPr>
        <w:t>文号。</w:t>
      </w:r>
    </w:p>
    <w:p>
      <w:pPr>
        <w:spacing w:line="344" w:lineRule="auto"/>
        <w:sectPr>
          <w:footerReference r:id="rId24" w:type="default"/>
          <w:pgSz w:w="12240" w:h="15840"/>
          <w:pgMar w:top="1346" w:right="1799" w:bottom="897" w:left="1802" w:header="0" w:footer="723" w:gutter="0"/>
          <w:cols w:space="720" w:num="1"/>
        </w:sectPr>
      </w:pPr>
    </w:p>
    <w:p>
      <w:pPr>
        <w:pStyle w:val="2"/>
        <w:spacing w:before="323" w:line="338" w:lineRule="auto"/>
        <w:ind w:left="4" w:right="154" w:firstLine="649"/>
      </w:pPr>
      <w:r>
        <w:rPr>
          <w:spacing w:val="9"/>
        </w:rPr>
        <w:t>食品添加剂的标签、说明书，不得含有虚假内容，不得涉</w:t>
      </w:r>
      <w:r>
        <w:rPr>
          <w:spacing w:val="5"/>
        </w:rPr>
        <w:t xml:space="preserve"> </w:t>
      </w:r>
      <w:r>
        <w:rPr>
          <w:spacing w:val="9"/>
        </w:rPr>
        <w:t>及疾病预防、治疗功能，不得标示每日摄入量或食用量。</w:t>
      </w:r>
    </w:p>
    <w:p>
      <w:pPr>
        <w:pStyle w:val="2"/>
        <w:spacing w:before="53" w:line="339" w:lineRule="auto"/>
        <w:ind w:left="648" w:right="864" w:firstLine="5"/>
      </w:pPr>
      <w:r>
        <w:rPr>
          <w:spacing w:val="6"/>
        </w:rPr>
        <w:t>食品添加剂标签和说明书的相关内容应当保持一致。</w:t>
      </w:r>
      <w:r>
        <w:rPr>
          <w:spacing w:val="2"/>
        </w:rPr>
        <w:t xml:space="preserve"> </w:t>
      </w:r>
      <w:r>
        <w:rPr>
          <w:rFonts w:ascii="黑体" w:hAnsi="黑体" w:eastAsia="黑体" w:cs="黑体"/>
          <w:spacing w:val="8"/>
        </w:rPr>
        <w:t xml:space="preserve">第四十三条  </w:t>
      </w:r>
      <w:r>
        <w:rPr>
          <w:spacing w:val="8"/>
        </w:rPr>
        <w:t>企业应当建立并执行的其他制度。</w:t>
      </w:r>
    </w:p>
    <w:p>
      <w:pPr>
        <w:pStyle w:val="2"/>
        <w:spacing w:before="20" w:line="310" w:lineRule="auto"/>
        <w:ind w:left="7" w:right="153" w:firstLine="632"/>
      </w:pPr>
      <w:r>
        <w:rPr>
          <w:spacing w:val="6"/>
        </w:rPr>
        <w:t>（</w:t>
      </w:r>
      <w:r>
        <w:rPr>
          <w:spacing w:val="-64"/>
        </w:rPr>
        <w:t xml:space="preserve"> </w:t>
      </w:r>
      <w:r>
        <w:rPr>
          <w:spacing w:val="6"/>
        </w:rPr>
        <w:t>一）</w:t>
      </w:r>
      <w:r>
        <w:rPr>
          <w:rFonts w:ascii="楷体" w:hAnsi="楷体" w:eastAsia="楷体" w:cs="楷体"/>
          <w:spacing w:val="6"/>
        </w:rPr>
        <w:t>建立并执行食品安全防护制度</w:t>
      </w:r>
      <w:r>
        <w:rPr>
          <w:spacing w:val="6"/>
        </w:rPr>
        <w:t>。应当建立食品安全</w:t>
      </w:r>
      <w:r>
        <w:t xml:space="preserve"> </w:t>
      </w:r>
      <w:r>
        <w:rPr>
          <w:spacing w:val="9"/>
        </w:rPr>
        <w:t>防护计划，降低因故意污染、蓄意破坏等人为因素造成食品添</w:t>
      </w:r>
      <w:r>
        <w:rPr>
          <w:spacing w:val="13"/>
        </w:rPr>
        <w:t xml:space="preserve"> </w:t>
      </w:r>
      <w:r>
        <w:rPr>
          <w:spacing w:val="8"/>
        </w:rPr>
        <w:t>加剂受到生物、化学、物理方面的风险。</w:t>
      </w:r>
    </w:p>
    <w:p>
      <w:pPr>
        <w:pStyle w:val="2"/>
        <w:spacing w:before="221" w:line="321" w:lineRule="auto"/>
        <w:ind w:firstLine="640"/>
      </w:pPr>
      <w:r>
        <w:rPr>
          <w:spacing w:val="7"/>
        </w:rPr>
        <w:t>（</w:t>
      </w:r>
      <w:r>
        <w:rPr>
          <w:spacing w:val="-81"/>
        </w:rPr>
        <w:t xml:space="preserve"> </w:t>
      </w:r>
      <w:r>
        <w:rPr>
          <w:spacing w:val="7"/>
        </w:rPr>
        <w:t>二）</w:t>
      </w:r>
      <w:r>
        <w:rPr>
          <w:rFonts w:ascii="楷体" w:hAnsi="楷体" w:eastAsia="楷体" w:cs="楷体"/>
          <w:spacing w:val="7"/>
        </w:rPr>
        <w:t>建立并执行防止生物、化学及物理污</w:t>
      </w:r>
      <w:r>
        <w:rPr>
          <w:rFonts w:ascii="楷体" w:hAnsi="楷体" w:eastAsia="楷体" w:cs="楷体"/>
          <w:spacing w:val="6"/>
        </w:rPr>
        <w:t>染防控管理制</w:t>
      </w:r>
      <w:r>
        <w:rPr>
          <w:rFonts w:ascii="楷体" w:hAnsi="楷体" w:eastAsia="楷体" w:cs="楷体"/>
        </w:rPr>
        <w:t xml:space="preserve">  </w:t>
      </w:r>
      <w:r>
        <w:rPr>
          <w:rFonts w:ascii="楷体" w:hAnsi="楷体" w:eastAsia="楷体" w:cs="楷体"/>
          <w:spacing w:val="9"/>
        </w:rPr>
        <w:t>度。</w:t>
      </w:r>
      <w:r>
        <w:rPr>
          <w:spacing w:val="9"/>
        </w:rPr>
        <w:t>按照《食品安全国家标准 食品添加剂生产通用卫生规范》</w:t>
      </w:r>
      <w:r>
        <w:rPr>
          <w:spacing w:val="11"/>
        </w:rPr>
        <w:t xml:space="preserve"> </w:t>
      </w:r>
      <w:r>
        <w:rPr>
          <w:spacing w:val="8"/>
        </w:rPr>
        <w:t>（</w:t>
      </w:r>
      <w:r>
        <w:rPr>
          <w:rFonts w:ascii="Times New Roman" w:hAnsi="Times New Roman" w:eastAsia="Times New Roman" w:cs="Times New Roman"/>
        </w:rPr>
        <w:t>GB</w:t>
      </w:r>
      <w:r>
        <w:rPr>
          <w:rFonts w:ascii="Times New Roman" w:hAnsi="Times New Roman" w:eastAsia="Times New Roman" w:cs="Times New Roman"/>
          <w:spacing w:val="8"/>
        </w:rPr>
        <w:t xml:space="preserve"> 31647</w:t>
      </w:r>
      <w:r>
        <w:rPr>
          <w:spacing w:val="5"/>
        </w:rPr>
        <w:t>），</w:t>
      </w:r>
      <w:r>
        <w:rPr>
          <w:spacing w:val="8"/>
        </w:rPr>
        <w:t>建立防止生物污染、化学污染、物理污</w:t>
      </w:r>
      <w:r>
        <w:rPr>
          <w:spacing w:val="7"/>
        </w:rPr>
        <w:t>染的控</w:t>
      </w:r>
      <w:r>
        <w:t xml:space="preserve">  </w:t>
      </w:r>
      <w:r>
        <w:rPr>
          <w:spacing w:val="6"/>
        </w:rPr>
        <w:t>制制度。</w:t>
      </w:r>
    </w:p>
    <w:p>
      <w:pPr>
        <w:pStyle w:val="2"/>
        <w:spacing w:before="221" w:line="349" w:lineRule="auto"/>
        <w:ind w:left="7" w:right="151" w:firstLine="648"/>
        <w:jc w:val="both"/>
      </w:pPr>
      <w:r>
        <w:rPr>
          <w:spacing w:val="9"/>
        </w:rPr>
        <w:t>有微生物控制要求的产品生产过程的微生物监控参照《食</w:t>
      </w:r>
      <w:r>
        <w:rPr>
          <w:spacing w:val="2"/>
        </w:rPr>
        <w:t xml:space="preserve"> </w:t>
      </w:r>
      <w:r>
        <w:rPr>
          <w:spacing w:val="-1"/>
        </w:rPr>
        <w:t>品安全国家标准 食品生产通用卫生规范》（</w:t>
      </w:r>
      <w:r>
        <w:rPr>
          <w:rFonts w:ascii="Times New Roman" w:hAnsi="Times New Roman" w:eastAsia="Times New Roman" w:cs="Times New Roman"/>
          <w:spacing w:val="-1"/>
        </w:rPr>
        <w:t>GB</w:t>
      </w:r>
      <w:r>
        <w:rPr>
          <w:rFonts w:ascii="Times New Roman" w:hAnsi="Times New Roman" w:eastAsia="Times New Roman" w:cs="Times New Roman"/>
          <w:spacing w:val="49"/>
          <w:w w:val="101"/>
        </w:rPr>
        <w:t xml:space="preserve"> </w:t>
      </w:r>
      <w:r>
        <w:rPr>
          <w:rFonts w:ascii="Times New Roman" w:hAnsi="Times New Roman" w:eastAsia="Times New Roman" w:cs="Times New Roman"/>
          <w:spacing w:val="-1"/>
        </w:rPr>
        <w:t>14881</w:t>
      </w:r>
      <w:r>
        <w:rPr>
          <w:rFonts w:ascii="Times New Roman" w:hAnsi="Times New Roman" w:eastAsia="Times New Roman" w:cs="Times New Roman"/>
          <w:spacing w:val="-34"/>
        </w:rPr>
        <w:t xml:space="preserve"> </w:t>
      </w:r>
      <w:r>
        <w:rPr>
          <w:spacing w:val="-1"/>
        </w:rPr>
        <w:t>）附录</w:t>
      </w:r>
      <w:r>
        <w:rPr>
          <w:spacing w:val="-71"/>
        </w:rPr>
        <w:t xml:space="preserve"> </w:t>
      </w:r>
      <w:r>
        <w:rPr>
          <w:rFonts w:ascii="Times New Roman" w:hAnsi="Times New Roman" w:eastAsia="Times New Roman" w:cs="Times New Roman"/>
          <w:spacing w:val="-1"/>
        </w:rPr>
        <w:t>A</w:t>
      </w:r>
      <w:r>
        <w:rPr>
          <w:rFonts w:ascii="Times New Roman" w:hAnsi="Times New Roman" w:eastAsia="Times New Roman" w:cs="Times New Roman"/>
        </w:rPr>
        <w:t xml:space="preserve"> </w:t>
      </w:r>
      <w:r>
        <w:rPr>
          <w:spacing w:val="9"/>
        </w:rPr>
        <w:t>的要求，结合生产工艺及相关产品标准要求，规定微生物限量</w:t>
      </w:r>
      <w:r>
        <w:rPr>
          <w:spacing w:val="13"/>
        </w:rPr>
        <w:t xml:space="preserve"> </w:t>
      </w:r>
      <w:r>
        <w:rPr>
          <w:spacing w:val="9"/>
        </w:rPr>
        <w:t>和监测方法等要求，制定生产过程的微生物监控制度，确保放</w:t>
      </w:r>
      <w:r>
        <w:rPr>
          <w:spacing w:val="13"/>
        </w:rPr>
        <w:t xml:space="preserve"> </w:t>
      </w:r>
      <w:r>
        <w:rPr>
          <w:spacing w:val="9"/>
        </w:rPr>
        <w:t>行产品符合相应的食品安全国家标准、国务院卫生行政部门公</w:t>
      </w:r>
      <w:r>
        <w:rPr>
          <w:spacing w:val="13"/>
        </w:rPr>
        <w:t xml:space="preserve"> </w:t>
      </w:r>
      <w:r>
        <w:rPr>
          <w:spacing w:val="3"/>
        </w:rPr>
        <w:t>告规定。</w:t>
      </w:r>
    </w:p>
    <w:p>
      <w:pPr>
        <w:pStyle w:val="2"/>
        <w:spacing w:before="44" w:line="311" w:lineRule="auto"/>
        <w:ind w:left="7" w:right="153" w:firstLine="632"/>
      </w:pPr>
      <w:r>
        <w:rPr>
          <w:spacing w:val="6"/>
        </w:rPr>
        <w:t>（</w:t>
      </w:r>
      <w:r>
        <w:rPr>
          <w:spacing w:val="-64"/>
        </w:rPr>
        <w:t xml:space="preserve"> </w:t>
      </w:r>
      <w:r>
        <w:rPr>
          <w:spacing w:val="6"/>
        </w:rPr>
        <w:t>三）</w:t>
      </w:r>
      <w:r>
        <w:rPr>
          <w:rFonts w:ascii="楷体" w:hAnsi="楷体" w:eastAsia="楷体" w:cs="楷体"/>
          <w:spacing w:val="6"/>
        </w:rPr>
        <w:t>建立并执行人员卫生控制要求。</w:t>
      </w:r>
      <w:r>
        <w:rPr>
          <w:spacing w:val="6"/>
        </w:rPr>
        <w:t>人员卫生管理制度</w:t>
      </w:r>
      <w:r>
        <w:t xml:space="preserve"> </w:t>
      </w:r>
      <w:r>
        <w:rPr>
          <w:spacing w:val="3"/>
        </w:rPr>
        <w:t>和工作服管理要求应当符合《食品安全国家标准 食品添加剂生</w:t>
      </w:r>
      <w:r>
        <w:rPr>
          <w:spacing w:val="17"/>
        </w:rPr>
        <w:t xml:space="preserve"> </w:t>
      </w:r>
      <w:r>
        <w:rPr>
          <w:spacing w:val="7"/>
        </w:rPr>
        <w:t>产通用卫生规范》（</w:t>
      </w:r>
      <w:r>
        <w:rPr>
          <w:rFonts w:ascii="Times New Roman" w:hAnsi="Times New Roman" w:eastAsia="Times New Roman" w:cs="Times New Roman"/>
        </w:rPr>
        <w:t>GB</w:t>
      </w:r>
      <w:r>
        <w:rPr>
          <w:rFonts w:ascii="Times New Roman" w:hAnsi="Times New Roman" w:eastAsia="Times New Roman" w:cs="Times New Roman"/>
          <w:spacing w:val="7"/>
        </w:rPr>
        <w:t xml:space="preserve"> 31647</w:t>
      </w:r>
      <w:r>
        <w:rPr>
          <w:spacing w:val="7"/>
        </w:rPr>
        <w:t>）的规定。</w:t>
      </w:r>
    </w:p>
    <w:p>
      <w:pPr>
        <w:pStyle w:val="2"/>
        <w:spacing w:before="217" w:line="228" w:lineRule="auto"/>
        <w:ind w:left="640"/>
      </w:pPr>
      <w:r>
        <w:rPr>
          <w:spacing w:val="5"/>
        </w:rPr>
        <w:t>（</w:t>
      </w:r>
      <w:r>
        <w:rPr>
          <w:spacing w:val="-49"/>
        </w:rPr>
        <w:t xml:space="preserve"> </w:t>
      </w:r>
      <w:r>
        <w:rPr>
          <w:spacing w:val="5"/>
        </w:rPr>
        <w:t>四）</w:t>
      </w:r>
      <w:r>
        <w:rPr>
          <w:rFonts w:ascii="楷体" w:hAnsi="楷体" w:eastAsia="楷体" w:cs="楷体"/>
          <w:spacing w:val="5"/>
        </w:rPr>
        <w:t>建立并执行生产和检验设备管理制度。</w:t>
      </w:r>
      <w:r>
        <w:rPr>
          <w:spacing w:val="5"/>
        </w:rPr>
        <w:t>明确生产、</w:t>
      </w:r>
    </w:p>
    <w:p>
      <w:pPr>
        <w:spacing w:line="228" w:lineRule="auto"/>
        <w:sectPr>
          <w:footerReference r:id="rId25" w:type="default"/>
          <w:pgSz w:w="12240" w:h="15840"/>
          <w:pgMar w:top="1346" w:right="1646" w:bottom="897" w:left="1804" w:header="0" w:footer="724" w:gutter="0"/>
          <w:cols w:space="720" w:num="1"/>
        </w:sectPr>
      </w:pPr>
    </w:p>
    <w:p>
      <w:pPr>
        <w:pStyle w:val="2"/>
        <w:spacing w:before="296" w:line="337" w:lineRule="auto"/>
        <w:ind w:left="6" w:hanging="7"/>
      </w:pPr>
      <w:r>
        <w:rPr>
          <w:spacing w:val="9"/>
        </w:rPr>
        <w:t>检验设备管理责任，制定设备使用、清洁、维护保养、维修等</w:t>
      </w:r>
      <w:r>
        <w:rPr>
          <w:spacing w:val="16"/>
        </w:rPr>
        <w:t xml:space="preserve"> </w:t>
      </w:r>
      <w:r>
        <w:rPr>
          <w:spacing w:val="8"/>
        </w:rPr>
        <w:t>操作规程以及设备检定或校准要求，并保存相关记录。</w:t>
      </w:r>
    </w:p>
    <w:p>
      <w:pPr>
        <w:pStyle w:val="2"/>
        <w:spacing w:before="57" w:line="338" w:lineRule="auto"/>
        <w:ind w:left="5" w:firstLine="631"/>
        <w:jc w:val="both"/>
      </w:pPr>
      <w:r>
        <w:rPr>
          <w:spacing w:val="7"/>
        </w:rPr>
        <w:t>（</w:t>
      </w:r>
      <w:r>
        <w:rPr>
          <w:spacing w:val="-88"/>
        </w:rPr>
        <w:t xml:space="preserve"> </w:t>
      </w:r>
      <w:r>
        <w:rPr>
          <w:spacing w:val="7"/>
        </w:rPr>
        <w:t>五</w:t>
      </w:r>
      <w:r>
        <w:rPr>
          <w:rFonts w:ascii="楷体" w:hAnsi="楷体" w:eastAsia="楷体" w:cs="楷体"/>
          <w:spacing w:val="7"/>
        </w:rPr>
        <w:t>）建立并执行原料、相关产品、半成品、成品等</w:t>
      </w:r>
      <w:r>
        <w:rPr>
          <w:rFonts w:ascii="楷体" w:hAnsi="楷体" w:eastAsia="楷体" w:cs="楷体"/>
          <w:spacing w:val="6"/>
        </w:rPr>
        <w:t>贮存</w:t>
      </w:r>
      <w:r>
        <w:rPr>
          <w:rFonts w:ascii="楷体" w:hAnsi="楷体" w:eastAsia="楷体" w:cs="楷体"/>
        </w:rPr>
        <w:t xml:space="preserve"> </w:t>
      </w:r>
      <w:r>
        <w:rPr>
          <w:rFonts w:ascii="楷体" w:hAnsi="楷体" w:eastAsia="楷体" w:cs="楷体"/>
          <w:spacing w:val="9"/>
        </w:rPr>
        <w:t>管理制度。</w:t>
      </w:r>
      <w:r>
        <w:rPr>
          <w:spacing w:val="9"/>
        </w:rPr>
        <w:t>应当依据产品性质的不同分设贮存场所或分区域码</w:t>
      </w:r>
      <w:r>
        <w:rPr>
          <w:spacing w:val="11"/>
        </w:rPr>
        <w:t xml:space="preserve"> </w:t>
      </w:r>
      <w:r>
        <w:rPr>
          <w:spacing w:val="7"/>
        </w:rPr>
        <w:t>放，并有明确标识。</w:t>
      </w:r>
    </w:p>
    <w:p>
      <w:pPr>
        <w:pStyle w:val="2"/>
        <w:spacing w:before="75" w:line="340" w:lineRule="auto"/>
        <w:ind w:left="31" w:firstLine="613"/>
      </w:pPr>
      <w:r>
        <w:rPr>
          <w:spacing w:val="9"/>
        </w:rPr>
        <w:t>危险化学品应当设置专用仓库、罐区、储存场所，并符合</w:t>
      </w:r>
      <w:r>
        <w:rPr>
          <w:spacing w:val="10"/>
        </w:rPr>
        <w:t xml:space="preserve"> </w:t>
      </w:r>
      <w:r>
        <w:rPr>
          <w:spacing w:val="2"/>
        </w:rPr>
        <w:t>国家有关规定。</w:t>
      </w:r>
    </w:p>
    <w:p>
      <w:pPr>
        <w:pStyle w:val="2"/>
        <w:spacing w:before="45" w:line="341" w:lineRule="auto"/>
        <w:ind w:left="5" w:right="2" w:firstLine="631"/>
      </w:pPr>
      <w:r>
        <w:rPr>
          <w:spacing w:val="4"/>
        </w:rPr>
        <w:t>（</w:t>
      </w:r>
      <w:r>
        <w:rPr>
          <w:spacing w:val="-86"/>
        </w:rPr>
        <w:t xml:space="preserve"> </w:t>
      </w:r>
      <w:r>
        <w:rPr>
          <w:spacing w:val="4"/>
        </w:rPr>
        <w:t>六）</w:t>
      </w:r>
      <w:r>
        <w:rPr>
          <w:rFonts w:ascii="楷体" w:hAnsi="楷体" w:eastAsia="楷体" w:cs="楷体"/>
          <w:spacing w:val="4"/>
        </w:rPr>
        <w:t>建立并执行记录和文件管理制度</w:t>
      </w:r>
      <w:r>
        <w:rPr>
          <w:spacing w:val="4"/>
        </w:rPr>
        <w:t>。</w:t>
      </w:r>
      <w:r>
        <w:rPr>
          <w:spacing w:val="-81"/>
        </w:rPr>
        <w:t xml:space="preserve"> </w:t>
      </w:r>
      <w:r>
        <w:rPr>
          <w:spacing w:val="4"/>
        </w:rPr>
        <w:t>明确食品添</w:t>
      </w:r>
      <w:r>
        <w:rPr>
          <w:spacing w:val="3"/>
        </w:rPr>
        <w:t>加剂</w:t>
      </w:r>
      <w:r>
        <w:t xml:space="preserve"> </w:t>
      </w:r>
      <w:r>
        <w:rPr>
          <w:spacing w:val="9"/>
        </w:rPr>
        <w:t>生产中采购、加工、贮存、检验、销售等环节详细记录要求， 确保记录内容完整真实、记录保存期限符合相关</w:t>
      </w:r>
      <w:r>
        <w:rPr>
          <w:spacing w:val="8"/>
        </w:rPr>
        <w:t>规定。</w:t>
      </w:r>
    </w:p>
    <w:p>
      <w:pPr>
        <w:pStyle w:val="2"/>
        <w:spacing w:before="68" w:line="338" w:lineRule="auto"/>
        <w:ind w:left="31" w:right="2" w:firstLine="643"/>
      </w:pPr>
      <w:r>
        <w:rPr>
          <w:spacing w:val="8"/>
        </w:rPr>
        <w:t>明确文件的批准、分发和使用要求，确保各相关场所使用</w:t>
      </w:r>
      <w:r>
        <w:rPr>
          <w:spacing w:val="2"/>
        </w:rPr>
        <w:t xml:space="preserve"> </w:t>
      </w:r>
      <w:r>
        <w:rPr>
          <w:spacing w:val="4"/>
        </w:rPr>
        <w:t>的文件均为有效版本。</w:t>
      </w:r>
    </w:p>
    <w:p>
      <w:pPr>
        <w:pStyle w:val="2"/>
        <w:spacing w:before="51" w:line="310" w:lineRule="auto"/>
        <w:ind w:left="7" w:firstLine="629"/>
      </w:pPr>
      <w:r>
        <w:rPr>
          <w:spacing w:val="9"/>
        </w:rPr>
        <w:t>（七）</w:t>
      </w:r>
      <w:r>
        <w:rPr>
          <w:rFonts w:ascii="楷体" w:hAnsi="楷体" w:eastAsia="楷体" w:cs="楷体"/>
          <w:spacing w:val="9"/>
        </w:rPr>
        <w:t>建立并执行食品安全事故处置制度</w:t>
      </w:r>
      <w:r>
        <w:rPr>
          <w:spacing w:val="9"/>
        </w:rPr>
        <w:t>。企业应当按照</w:t>
      </w:r>
      <w:r>
        <w:rPr>
          <w:spacing w:val="18"/>
        </w:rPr>
        <w:t xml:space="preserve"> </w:t>
      </w:r>
      <w:r>
        <w:rPr>
          <w:spacing w:val="9"/>
        </w:rPr>
        <w:t>法律法规要求建立食品安全事故处置方案，定期检查本企业各</w:t>
      </w:r>
      <w:r>
        <w:rPr>
          <w:spacing w:val="6"/>
        </w:rPr>
        <w:t xml:space="preserve"> </w:t>
      </w:r>
      <w:r>
        <w:rPr>
          <w:spacing w:val="8"/>
        </w:rPr>
        <w:t>项食品安全防范措施的落实情况，及时消除事故隐患。</w:t>
      </w:r>
    </w:p>
    <w:p>
      <w:pPr>
        <w:pStyle w:val="2"/>
        <w:spacing w:before="217" w:line="310" w:lineRule="auto"/>
        <w:ind w:left="6" w:firstLine="630"/>
      </w:pPr>
      <w:r>
        <w:rPr>
          <w:spacing w:val="7"/>
        </w:rPr>
        <w:t>（</w:t>
      </w:r>
      <w:r>
        <w:rPr>
          <w:spacing w:val="-87"/>
        </w:rPr>
        <w:t xml:space="preserve"> </w:t>
      </w:r>
      <w:r>
        <w:rPr>
          <w:spacing w:val="7"/>
        </w:rPr>
        <w:t>八）</w:t>
      </w:r>
      <w:r>
        <w:rPr>
          <w:rFonts w:ascii="楷体" w:hAnsi="楷体" w:eastAsia="楷体" w:cs="楷体"/>
          <w:spacing w:val="7"/>
        </w:rPr>
        <w:t>建立并执行菌种管理制度。</w:t>
      </w:r>
      <w:r>
        <w:rPr>
          <w:spacing w:val="7"/>
        </w:rPr>
        <w:t>食品添加剂生产过程中</w:t>
      </w:r>
      <w:r>
        <w:t xml:space="preserve"> </w:t>
      </w:r>
      <w:r>
        <w:rPr>
          <w:spacing w:val="9"/>
        </w:rPr>
        <w:t>若使用菌种，应当有严格的管理和操作制度，菌种保存及扩大</w:t>
      </w:r>
      <w:r>
        <w:rPr>
          <w:spacing w:val="10"/>
        </w:rPr>
        <w:t xml:space="preserve"> </w:t>
      </w:r>
      <w:r>
        <w:rPr>
          <w:spacing w:val="7"/>
        </w:rPr>
        <w:t>培养应当做到无菌操作。</w:t>
      </w:r>
    </w:p>
    <w:p>
      <w:pPr>
        <w:pStyle w:val="2"/>
        <w:spacing w:before="223" w:line="288" w:lineRule="auto"/>
        <w:ind w:left="23" w:firstLine="612"/>
      </w:pPr>
      <w:r>
        <w:rPr>
          <w:spacing w:val="9"/>
        </w:rPr>
        <w:t>（九）</w:t>
      </w:r>
      <w:r>
        <w:rPr>
          <w:rFonts w:ascii="楷体" w:hAnsi="楷体" w:eastAsia="楷体" w:cs="楷体"/>
          <w:spacing w:val="9"/>
        </w:rPr>
        <w:t>建立并执行虫害控制制度。</w:t>
      </w:r>
      <w:r>
        <w:rPr>
          <w:spacing w:val="9"/>
        </w:rPr>
        <w:t>应当根据情况制定预防</w:t>
      </w:r>
      <w:r>
        <w:rPr>
          <w:spacing w:val="18"/>
        </w:rPr>
        <w:t xml:space="preserve"> </w:t>
      </w:r>
      <w:r>
        <w:rPr>
          <w:spacing w:val="8"/>
        </w:rPr>
        <w:t>虫害控制程序，采取有效措施防止虫害侵入及孳生。</w:t>
      </w:r>
    </w:p>
    <w:p>
      <w:pPr>
        <w:spacing w:line="288" w:lineRule="auto"/>
        <w:sectPr>
          <w:footerReference r:id="rId26" w:type="default"/>
          <w:pgSz w:w="12240" w:h="15840"/>
          <w:pgMar w:top="1346" w:right="1800" w:bottom="897" w:left="1808" w:header="0" w:footer="724" w:gutter="0"/>
          <w:cols w:space="720" w:num="1"/>
        </w:sectPr>
      </w:pPr>
    </w:p>
    <w:p>
      <w:pPr>
        <w:pStyle w:val="2"/>
        <w:spacing w:before="297" w:line="331" w:lineRule="auto"/>
        <w:ind w:firstLine="636"/>
      </w:pPr>
      <w:r>
        <w:rPr>
          <w:spacing w:val="9"/>
        </w:rPr>
        <w:t>（十）</w:t>
      </w:r>
      <w:r>
        <w:rPr>
          <w:rFonts w:ascii="楷体" w:hAnsi="楷体" w:eastAsia="楷体" w:cs="楷体"/>
          <w:spacing w:val="9"/>
        </w:rPr>
        <w:t>建立并执行危险化学品生产的防护、处置制度。</w:t>
      </w:r>
      <w:r>
        <w:rPr>
          <w:spacing w:val="9"/>
        </w:rPr>
        <w:t>涉</w:t>
      </w:r>
      <w:r>
        <w:rPr>
          <w:spacing w:val="18"/>
        </w:rPr>
        <w:t xml:space="preserve"> </w:t>
      </w:r>
      <w:r>
        <w:rPr>
          <w:spacing w:val="9"/>
        </w:rPr>
        <w:t>及危险化学品生产的企业应当具有相应防护、处置等制度。</w:t>
      </w:r>
    </w:p>
    <w:p>
      <w:pPr>
        <w:pStyle w:val="2"/>
        <w:spacing w:before="74" w:line="342" w:lineRule="auto"/>
        <w:ind w:left="11" w:firstLine="625"/>
      </w:pPr>
      <w:r>
        <w:rPr>
          <w:spacing w:val="9"/>
        </w:rPr>
        <w:t>（十一）</w:t>
      </w:r>
      <w:r>
        <w:rPr>
          <w:rFonts w:ascii="楷体" w:hAnsi="楷体" w:eastAsia="楷体" w:cs="楷体"/>
          <w:spacing w:val="9"/>
        </w:rPr>
        <w:t>建立并执行废弃物存放和清除制度。</w:t>
      </w:r>
      <w:r>
        <w:rPr>
          <w:spacing w:val="9"/>
        </w:rPr>
        <w:t>应当规定废</w:t>
      </w:r>
      <w:r>
        <w:rPr>
          <w:spacing w:val="16"/>
        </w:rPr>
        <w:t xml:space="preserve"> </w:t>
      </w:r>
      <w:r>
        <w:rPr>
          <w:spacing w:val="9"/>
        </w:rPr>
        <w:t>弃物清除频次，必要时应当及时清除废弃物，易腐败的废弃物</w:t>
      </w:r>
      <w:r>
        <w:rPr>
          <w:spacing w:val="5"/>
        </w:rPr>
        <w:t xml:space="preserve"> 应当尽快清除。</w:t>
      </w:r>
    </w:p>
    <w:p>
      <w:pPr>
        <w:spacing w:before="32" w:line="227" w:lineRule="auto"/>
        <w:ind w:left="1523"/>
        <w:outlineLvl w:val="0"/>
        <w:rPr>
          <w:rFonts w:ascii="黑体" w:hAnsi="黑体" w:eastAsia="黑体" w:cs="黑体"/>
          <w:sz w:val="31"/>
          <w:szCs w:val="31"/>
        </w:rPr>
      </w:pPr>
      <w:r>
        <w:rPr>
          <w:rFonts w:ascii="黑体" w:hAnsi="黑体" w:eastAsia="黑体" w:cs="黑体"/>
          <w:spacing w:val="9"/>
          <w:sz w:val="31"/>
          <w:szCs w:val="31"/>
        </w:rPr>
        <w:t>第七章 生产复配食品添加剂的附加审查要求</w:t>
      </w:r>
    </w:p>
    <w:p>
      <w:pPr>
        <w:pStyle w:val="2"/>
        <w:spacing w:before="232" w:line="335" w:lineRule="auto"/>
        <w:ind w:left="8" w:firstLine="635"/>
      </w:pPr>
      <w:r>
        <w:rPr>
          <w:rFonts w:ascii="黑体" w:hAnsi="黑体" w:eastAsia="黑体" w:cs="黑体"/>
          <w:spacing w:val="9"/>
        </w:rPr>
        <w:t xml:space="preserve">第四十四条  </w:t>
      </w:r>
      <w:r>
        <w:rPr>
          <w:spacing w:val="9"/>
        </w:rPr>
        <w:t>企业生产复配食品添加剂应当具备相应的配</w:t>
      </w:r>
      <w:r>
        <w:rPr>
          <w:spacing w:val="1"/>
        </w:rPr>
        <w:t xml:space="preserve"> </w:t>
      </w:r>
      <w:r>
        <w:rPr>
          <w:spacing w:val="8"/>
        </w:rPr>
        <w:t>方研发能力，建立并执行产品配方研发管理制度。</w:t>
      </w:r>
    </w:p>
    <w:p>
      <w:pPr>
        <w:pStyle w:val="2"/>
        <w:spacing w:before="8" w:line="319" w:lineRule="auto"/>
        <w:ind w:left="43" w:right="2" w:firstLine="592"/>
      </w:pPr>
      <w:r>
        <w:rPr>
          <w:spacing w:val="6"/>
        </w:rPr>
        <w:t>（</w:t>
      </w:r>
      <w:r>
        <w:rPr>
          <w:spacing w:val="-65"/>
        </w:rPr>
        <w:t xml:space="preserve"> </w:t>
      </w:r>
      <w:r>
        <w:rPr>
          <w:spacing w:val="6"/>
        </w:rPr>
        <w:t>一）具备产品配方研发必需的研发场所、设备设施，应</w:t>
      </w:r>
      <w:r>
        <w:t xml:space="preserve"> </w:t>
      </w:r>
      <w:r>
        <w:rPr>
          <w:spacing w:val="6"/>
        </w:rPr>
        <w:t>当配备相应的专职或兼职研发人员。</w:t>
      </w:r>
    </w:p>
    <w:p>
      <w:pPr>
        <w:pStyle w:val="2"/>
        <w:spacing w:before="50" w:line="324" w:lineRule="auto"/>
        <w:ind w:left="3" w:firstLine="643"/>
      </w:pPr>
      <w:r>
        <w:rPr>
          <w:spacing w:val="9"/>
        </w:rPr>
        <w:t>企业可以委托具有配方研发能力的机构进行配方研发，也</w:t>
      </w:r>
      <w:r>
        <w:rPr>
          <w:spacing w:val="7"/>
        </w:rPr>
        <w:t xml:space="preserve"> </w:t>
      </w:r>
      <w:r>
        <w:rPr>
          <w:spacing w:val="9"/>
        </w:rPr>
        <w:t>可以购买具有配方研发能力的机构所研发的产品配方，并由机</w:t>
      </w:r>
      <w:r>
        <w:rPr>
          <w:spacing w:val="13"/>
        </w:rPr>
        <w:t xml:space="preserve"> </w:t>
      </w:r>
      <w:r>
        <w:rPr>
          <w:spacing w:val="7"/>
        </w:rPr>
        <w:t>构对企业提供技术支持。</w:t>
      </w:r>
    </w:p>
    <w:p>
      <w:pPr>
        <w:pStyle w:val="2"/>
        <w:spacing w:before="50" w:line="323" w:lineRule="auto"/>
        <w:ind w:left="31" w:firstLine="605"/>
        <w:jc w:val="both"/>
      </w:pPr>
      <w:r>
        <w:rPr>
          <w:spacing w:val="7"/>
        </w:rPr>
        <w:t>（</w:t>
      </w:r>
      <w:r>
        <w:rPr>
          <w:spacing w:val="-81"/>
        </w:rPr>
        <w:t xml:space="preserve"> </w:t>
      </w:r>
      <w:r>
        <w:rPr>
          <w:spacing w:val="7"/>
        </w:rPr>
        <w:t>二）建立并执行产品配方研发管理制度，</w:t>
      </w:r>
      <w:r>
        <w:rPr>
          <w:spacing w:val="6"/>
        </w:rPr>
        <w:t>确保用于配方</w:t>
      </w:r>
      <w:r>
        <w:t xml:space="preserve"> </w:t>
      </w:r>
      <w:r>
        <w:rPr>
          <w:spacing w:val="8"/>
        </w:rPr>
        <w:t>的单一品种食品添加剂、食品原料及复配后产品符合食品安全</w:t>
      </w:r>
      <w:r>
        <w:rPr>
          <w:spacing w:val="12"/>
        </w:rPr>
        <w:t xml:space="preserve"> </w:t>
      </w:r>
      <w:r>
        <w:rPr>
          <w:spacing w:val="7"/>
        </w:rPr>
        <w:t>国家标准、国务院卫生行政部门公告规定。</w:t>
      </w:r>
    </w:p>
    <w:p>
      <w:pPr>
        <w:pStyle w:val="2"/>
        <w:spacing w:before="49" w:line="326" w:lineRule="auto"/>
        <w:ind w:left="2" w:firstLine="642"/>
        <w:jc w:val="both"/>
      </w:pPr>
      <w:r>
        <w:rPr>
          <w:spacing w:val="9"/>
        </w:rPr>
        <w:t>用于配方的各单一品种食品添加剂应当为食品安全国家标</w:t>
      </w:r>
      <w:r>
        <w:rPr>
          <w:spacing w:val="10"/>
        </w:rPr>
        <w:t xml:space="preserve"> </w:t>
      </w:r>
      <w:r>
        <w:rPr>
          <w:spacing w:val="9"/>
        </w:rPr>
        <w:t>准、国务院卫生行政部门公告准许使用的食品添加剂品种，且</w:t>
      </w:r>
      <w:r>
        <w:rPr>
          <w:spacing w:val="12"/>
        </w:rPr>
        <w:t xml:space="preserve"> </w:t>
      </w:r>
      <w:r>
        <w:rPr>
          <w:spacing w:val="9"/>
        </w:rPr>
        <w:t>具有共同的使用范围，其产品质量规格应当符合相应的食品安</w:t>
      </w:r>
      <w:r>
        <w:rPr>
          <w:spacing w:val="14"/>
        </w:rPr>
        <w:t xml:space="preserve"> </w:t>
      </w:r>
      <w:r>
        <w:rPr>
          <w:spacing w:val="8"/>
        </w:rPr>
        <w:t>全国家标准和国务院卫生行政部门公告规定。</w:t>
      </w:r>
    </w:p>
    <w:p>
      <w:pPr>
        <w:pStyle w:val="2"/>
        <w:spacing w:before="52" w:line="318" w:lineRule="auto"/>
        <w:ind w:left="16" w:firstLine="628"/>
      </w:pPr>
      <w:r>
        <w:rPr>
          <w:spacing w:val="9"/>
        </w:rPr>
        <w:t>用于配方的食品原料应当为复配食品添加剂自身工艺必需</w:t>
      </w:r>
      <w:r>
        <w:rPr>
          <w:spacing w:val="10"/>
        </w:rPr>
        <w:t xml:space="preserve"> </w:t>
      </w:r>
      <w:r>
        <w:rPr>
          <w:spacing w:val="9"/>
        </w:rPr>
        <w:t>添加，且应当符合相应的食品安全国家标准。在满足工艺必要</w:t>
      </w:r>
    </w:p>
    <w:p>
      <w:pPr>
        <w:spacing w:line="318" w:lineRule="auto"/>
        <w:sectPr>
          <w:footerReference r:id="rId27" w:type="default"/>
          <w:pgSz w:w="12240" w:h="15840"/>
          <w:pgMar w:top="1346" w:right="1800" w:bottom="897" w:left="1808" w:header="0" w:footer="724" w:gutter="0"/>
          <w:cols w:space="720" w:num="1"/>
        </w:sectPr>
      </w:pPr>
    </w:p>
    <w:p>
      <w:pPr>
        <w:pStyle w:val="2"/>
        <w:spacing w:before="271" w:line="220" w:lineRule="auto"/>
        <w:ind w:left="7"/>
      </w:pPr>
      <w:r>
        <w:rPr>
          <w:spacing w:val="8"/>
        </w:rPr>
        <w:t>性的前提下，应当尽可能使用单一成分食品原料。</w:t>
      </w:r>
    </w:p>
    <w:p>
      <w:pPr>
        <w:pStyle w:val="2"/>
        <w:spacing w:before="187" w:line="326" w:lineRule="auto"/>
        <w:ind w:right="81" w:firstLine="657"/>
        <w:jc w:val="both"/>
      </w:pPr>
      <w:r>
        <w:rPr>
          <w:spacing w:val="9"/>
        </w:rPr>
        <w:t>复配后产品在食品中的使用范围和使用量应当</w:t>
      </w:r>
      <w:r>
        <w:rPr>
          <w:spacing w:val="8"/>
        </w:rPr>
        <w:t>符合《食品</w:t>
      </w:r>
      <w:r>
        <w:t xml:space="preserve"> </w:t>
      </w:r>
      <w:r>
        <w:rPr>
          <w:spacing w:val="7"/>
        </w:rPr>
        <w:t>安全国家标准 食品添加剂使用标准》（</w:t>
      </w:r>
      <w:r>
        <w:rPr>
          <w:rFonts w:ascii="Times New Roman" w:hAnsi="Times New Roman" w:eastAsia="Times New Roman" w:cs="Times New Roman"/>
        </w:rPr>
        <w:t>GB</w:t>
      </w:r>
      <w:r>
        <w:rPr>
          <w:rFonts w:ascii="Times New Roman" w:hAnsi="Times New Roman" w:eastAsia="Times New Roman" w:cs="Times New Roman"/>
          <w:spacing w:val="7"/>
        </w:rPr>
        <w:t xml:space="preserve"> 2760</w:t>
      </w:r>
      <w:r>
        <w:rPr>
          <w:spacing w:val="7"/>
        </w:rPr>
        <w:t>）、《食品安</w:t>
      </w:r>
      <w:r>
        <w:rPr>
          <w:spacing w:val="11"/>
        </w:rPr>
        <w:t xml:space="preserve"> </w:t>
      </w:r>
      <w:r>
        <w:rPr>
          <w:spacing w:val="7"/>
        </w:rPr>
        <w:t>全国家标准 食品营养强化剂使用标准》（</w:t>
      </w:r>
      <w:r>
        <w:rPr>
          <w:spacing w:val="-78"/>
        </w:rPr>
        <w:t xml:space="preserve"> </w:t>
      </w:r>
      <w:r>
        <w:rPr>
          <w:rFonts w:ascii="Times New Roman" w:hAnsi="Times New Roman" w:eastAsia="Times New Roman" w:cs="Times New Roman"/>
        </w:rPr>
        <w:t>GB</w:t>
      </w:r>
      <w:r>
        <w:rPr>
          <w:rFonts w:ascii="Times New Roman" w:hAnsi="Times New Roman" w:eastAsia="Times New Roman" w:cs="Times New Roman"/>
          <w:spacing w:val="45"/>
        </w:rPr>
        <w:t xml:space="preserve"> </w:t>
      </w:r>
      <w:r>
        <w:rPr>
          <w:rFonts w:ascii="Times New Roman" w:hAnsi="Times New Roman" w:eastAsia="Times New Roman" w:cs="Times New Roman"/>
          <w:spacing w:val="7"/>
        </w:rPr>
        <w:t>14880</w:t>
      </w:r>
      <w:r>
        <w:rPr>
          <w:rFonts w:ascii="Times New Roman" w:hAnsi="Times New Roman" w:eastAsia="Times New Roman" w:cs="Times New Roman"/>
          <w:spacing w:val="-27"/>
        </w:rPr>
        <w:t xml:space="preserve"> </w:t>
      </w:r>
      <w:r>
        <w:rPr>
          <w:spacing w:val="7"/>
        </w:rPr>
        <w:t>）和国务</w:t>
      </w:r>
      <w:r>
        <w:t xml:space="preserve"> </w:t>
      </w:r>
      <w:r>
        <w:rPr>
          <w:spacing w:val="8"/>
        </w:rPr>
        <w:t>院卫生行政部门公告规定。</w:t>
      </w:r>
    </w:p>
    <w:p>
      <w:pPr>
        <w:pStyle w:val="2"/>
        <w:spacing w:before="52" w:line="296" w:lineRule="auto"/>
        <w:ind w:left="5" w:right="81" w:firstLine="629"/>
      </w:pPr>
      <w:r>
        <w:rPr>
          <w:spacing w:val="6"/>
        </w:rPr>
        <w:t>（</w:t>
      </w:r>
      <w:r>
        <w:rPr>
          <w:spacing w:val="-65"/>
        </w:rPr>
        <w:t xml:space="preserve"> </w:t>
      </w:r>
      <w:r>
        <w:rPr>
          <w:spacing w:val="6"/>
        </w:rPr>
        <w:t>三）产品配方应当至少包括：各单一品种食品添加剂名</w:t>
      </w:r>
      <w:r>
        <w:t xml:space="preserve"> </w:t>
      </w:r>
      <w:r>
        <w:rPr>
          <w:spacing w:val="9"/>
        </w:rPr>
        <w:t xml:space="preserve">称、含量、产品质量规格；食品用原料名称及含量；复配后产 </w:t>
      </w:r>
      <w:r>
        <w:rPr>
          <w:spacing w:val="7"/>
        </w:rPr>
        <w:t>品名称、使用范围和用量。</w:t>
      </w:r>
    </w:p>
    <w:p>
      <w:pPr>
        <w:pStyle w:val="2"/>
        <w:spacing w:before="186" w:line="297" w:lineRule="auto"/>
        <w:ind w:left="8" w:right="81" w:firstLine="625"/>
      </w:pPr>
      <w:r>
        <w:rPr>
          <w:spacing w:val="6"/>
        </w:rPr>
        <w:t>（</w:t>
      </w:r>
      <w:r>
        <w:rPr>
          <w:spacing w:val="-61"/>
        </w:rPr>
        <w:t xml:space="preserve"> </w:t>
      </w:r>
      <w:r>
        <w:rPr>
          <w:spacing w:val="6"/>
        </w:rPr>
        <w:t>四）建立并执行标准文本管理制度，对参与复配</w:t>
      </w:r>
      <w:r>
        <w:rPr>
          <w:spacing w:val="5"/>
        </w:rPr>
        <w:t>的各单</w:t>
      </w:r>
      <w:r>
        <w:t xml:space="preserve"> </w:t>
      </w:r>
      <w:r>
        <w:rPr>
          <w:spacing w:val="9"/>
        </w:rPr>
        <w:t>一品种食品添加剂、食品原料相关的食品安全国家标准等进行</w:t>
      </w:r>
      <w:r>
        <w:rPr>
          <w:spacing w:val="5"/>
        </w:rPr>
        <w:t xml:space="preserve"> </w:t>
      </w:r>
      <w:r>
        <w:rPr>
          <w:spacing w:val="6"/>
        </w:rPr>
        <w:t>有效管理、及时更新。</w:t>
      </w:r>
    </w:p>
    <w:p>
      <w:pPr>
        <w:pStyle w:val="2"/>
        <w:spacing w:before="185" w:line="296" w:lineRule="auto"/>
        <w:ind w:left="7" w:right="81" w:firstLine="626"/>
      </w:pPr>
      <w:r>
        <w:rPr>
          <w:spacing w:val="7"/>
        </w:rPr>
        <w:t>（</w:t>
      </w:r>
      <w:r>
        <w:rPr>
          <w:spacing w:val="-87"/>
        </w:rPr>
        <w:t xml:space="preserve"> </w:t>
      </w:r>
      <w:r>
        <w:rPr>
          <w:spacing w:val="7"/>
        </w:rPr>
        <w:t>五）企业应当确保复配过程不发生化学反应，提供关于</w:t>
      </w:r>
      <w:r>
        <w:t xml:space="preserve"> </w:t>
      </w:r>
      <w:r>
        <w:rPr>
          <w:spacing w:val="9"/>
        </w:rPr>
        <w:t>参与复配的各组分在复配过程中不发生化学反应、不产生新的</w:t>
      </w:r>
      <w:r>
        <w:rPr>
          <w:spacing w:val="6"/>
        </w:rPr>
        <w:t xml:space="preserve"> </w:t>
      </w:r>
      <w:r>
        <w:rPr>
          <w:spacing w:val="7"/>
        </w:rPr>
        <w:t>化合物的证明或自我声明材料。</w:t>
      </w:r>
    </w:p>
    <w:p>
      <w:pPr>
        <w:pStyle w:val="2"/>
        <w:spacing w:before="188" w:line="299" w:lineRule="auto"/>
        <w:ind w:left="1" w:right="81" w:firstLine="632"/>
      </w:pPr>
      <w:r>
        <w:rPr>
          <w:spacing w:val="7"/>
        </w:rPr>
        <w:t>（</w:t>
      </w:r>
      <w:r>
        <w:rPr>
          <w:spacing w:val="-85"/>
        </w:rPr>
        <w:t xml:space="preserve"> </w:t>
      </w:r>
      <w:r>
        <w:rPr>
          <w:spacing w:val="7"/>
        </w:rPr>
        <w:t>六）建立并执行研发记录管理制度。产品配方</w:t>
      </w:r>
      <w:r>
        <w:rPr>
          <w:spacing w:val="6"/>
        </w:rPr>
        <w:t>研发过程</w:t>
      </w:r>
      <w:r>
        <w:t xml:space="preserve"> </w:t>
      </w:r>
      <w:r>
        <w:rPr>
          <w:spacing w:val="9"/>
        </w:rPr>
        <w:t>中产生的数据、记录和文件应当妥善保管，保留完整，存档备</w:t>
      </w:r>
      <w:r>
        <w:rPr>
          <w:spacing w:val="13"/>
        </w:rPr>
        <w:t xml:space="preserve"> </w:t>
      </w:r>
      <w:r>
        <w:rPr>
          <w:spacing w:val="-2"/>
        </w:rPr>
        <w:t>查。</w:t>
      </w:r>
    </w:p>
    <w:p>
      <w:pPr>
        <w:pStyle w:val="2"/>
        <w:spacing w:before="226" w:line="336" w:lineRule="auto"/>
        <w:ind w:left="16" w:right="81" w:firstLine="625"/>
      </w:pPr>
      <w:r>
        <w:rPr>
          <w:rFonts w:ascii="黑体" w:hAnsi="黑体" w:eastAsia="黑体" w:cs="黑体"/>
          <w:spacing w:val="9"/>
        </w:rPr>
        <w:t xml:space="preserve">第四十五条  </w:t>
      </w:r>
      <w:r>
        <w:rPr>
          <w:spacing w:val="9"/>
        </w:rPr>
        <w:t>不得使用复配食品添加剂作为原料再次进行</w:t>
      </w:r>
      <w:r>
        <w:rPr>
          <w:spacing w:val="1"/>
        </w:rPr>
        <w:t xml:space="preserve"> </w:t>
      </w:r>
      <w:r>
        <w:rPr>
          <w:spacing w:val="8"/>
        </w:rPr>
        <w:t>复配，不得使用食品用香精作为原料进行复配。</w:t>
      </w:r>
    </w:p>
    <w:p>
      <w:pPr>
        <w:pStyle w:val="2"/>
        <w:spacing w:before="58" w:line="338" w:lineRule="auto"/>
        <w:ind w:right="81" w:firstLine="642"/>
      </w:pPr>
      <w:r>
        <w:rPr>
          <w:rFonts w:ascii="黑体" w:hAnsi="黑体" w:eastAsia="黑体" w:cs="黑体"/>
          <w:spacing w:val="9"/>
        </w:rPr>
        <w:t xml:space="preserve">第四十六条  </w:t>
      </w:r>
      <w:r>
        <w:rPr>
          <w:spacing w:val="9"/>
        </w:rPr>
        <w:t>建立并执行复配食品添加剂质量安全控制制</w:t>
      </w:r>
      <w:r>
        <w:rPr>
          <w:spacing w:val="1"/>
        </w:rPr>
        <w:t xml:space="preserve"> </w:t>
      </w:r>
      <w:r>
        <w:rPr>
          <w:spacing w:val="-2"/>
        </w:rPr>
        <w:t>度。</w:t>
      </w:r>
    </w:p>
    <w:p>
      <w:pPr>
        <w:pStyle w:val="2"/>
        <w:spacing w:before="2" w:line="221" w:lineRule="auto"/>
        <w:jc w:val="right"/>
      </w:pPr>
      <w:r>
        <w:t>（一）有害物质控制要求。根据企业生产工艺和产品配方，</w:t>
      </w:r>
    </w:p>
    <w:p>
      <w:pPr>
        <w:spacing w:line="221" w:lineRule="auto"/>
        <w:sectPr>
          <w:footerReference r:id="rId28" w:type="default"/>
          <w:pgSz w:w="12240" w:h="15840"/>
          <w:pgMar w:top="1346" w:right="1718" w:bottom="897" w:left="1811" w:header="0" w:footer="724" w:gutter="0"/>
          <w:cols w:space="720" w:num="1"/>
        </w:sectPr>
      </w:pPr>
    </w:p>
    <w:p>
      <w:pPr>
        <w:pStyle w:val="2"/>
        <w:spacing w:before="270" w:line="221" w:lineRule="auto"/>
        <w:ind w:left="37"/>
      </w:pPr>
      <w:r>
        <w:rPr>
          <w:spacing w:val="6"/>
        </w:rPr>
        <w:t>明确有害物质控制要求及计算方法。</w:t>
      </w:r>
    </w:p>
    <w:p>
      <w:pPr>
        <w:pStyle w:val="2"/>
        <w:spacing w:before="186" w:line="277" w:lineRule="auto"/>
        <w:ind w:left="21" w:right="154" w:firstLine="619"/>
      </w:pPr>
      <w:r>
        <w:rPr>
          <w:spacing w:val="7"/>
        </w:rPr>
        <w:t>（</w:t>
      </w:r>
      <w:r>
        <w:rPr>
          <w:spacing w:val="-81"/>
        </w:rPr>
        <w:t xml:space="preserve"> </w:t>
      </w:r>
      <w:r>
        <w:rPr>
          <w:spacing w:val="7"/>
        </w:rPr>
        <w:t>二）致病性微生物控制要求。企业根据生</w:t>
      </w:r>
      <w:r>
        <w:rPr>
          <w:spacing w:val="6"/>
        </w:rPr>
        <w:t>产工艺和产品</w:t>
      </w:r>
      <w:r>
        <w:t xml:space="preserve"> </w:t>
      </w:r>
      <w:r>
        <w:rPr>
          <w:spacing w:val="8"/>
        </w:rPr>
        <w:t>配方，明确致病性微生物相关指标要求和控制要求。</w:t>
      </w:r>
    </w:p>
    <w:p>
      <w:pPr>
        <w:pStyle w:val="2"/>
        <w:spacing w:before="190" w:line="277" w:lineRule="auto"/>
        <w:ind w:left="7" w:right="154" w:firstLine="632"/>
      </w:pPr>
      <w:r>
        <w:rPr>
          <w:spacing w:val="6"/>
        </w:rPr>
        <w:t>（</w:t>
      </w:r>
      <w:r>
        <w:rPr>
          <w:spacing w:val="-62"/>
        </w:rPr>
        <w:t xml:space="preserve"> </w:t>
      </w:r>
      <w:r>
        <w:rPr>
          <w:spacing w:val="6"/>
        </w:rPr>
        <w:t>三）投料管理要求。复配食品添加剂生产应当严格按照</w:t>
      </w:r>
      <w:r>
        <w:t xml:space="preserve"> </w:t>
      </w:r>
      <w:r>
        <w:rPr>
          <w:spacing w:val="8"/>
        </w:rPr>
        <w:t>产品配方投料，并建立复核制度。</w:t>
      </w:r>
    </w:p>
    <w:p>
      <w:pPr>
        <w:pStyle w:val="2"/>
        <w:spacing w:before="192" w:line="305" w:lineRule="auto"/>
        <w:ind w:left="5" w:right="154" w:firstLine="635"/>
      </w:pPr>
      <w:r>
        <w:rPr>
          <w:spacing w:val="6"/>
        </w:rPr>
        <w:t>（</w:t>
      </w:r>
      <w:r>
        <w:rPr>
          <w:spacing w:val="-62"/>
        </w:rPr>
        <w:t xml:space="preserve"> </w:t>
      </w:r>
      <w:r>
        <w:rPr>
          <w:spacing w:val="6"/>
        </w:rPr>
        <w:t>四）检验管理要求。企业应当按照食品安全国家标准制</w:t>
      </w:r>
      <w:r>
        <w:t xml:space="preserve"> </w:t>
      </w:r>
      <w:r>
        <w:rPr>
          <w:spacing w:val="9"/>
        </w:rPr>
        <w:t>定检验方案，对复配食品添加剂感官要求、有害物质、致病微</w:t>
      </w:r>
      <w:r>
        <w:rPr>
          <w:spacing w:val="15"/>
        </w:rPr>
        <w:t xml:space="preserve"> </w:t>
      </w:r>
      <w:r>
        <w:rPr>
          <w:spacing w:val="9"/>
        </w:rPr>
        <w:t>生物等进行检验。检验方法应当符合食品安全国家标准、指定</w:t>
      </w:r>
      <w:r>
        <w:rPr>
          <w:spacing w:val="15"/>
        </w:rPr>
        <w:t xml:space="preserve"> </w:t>
      </w:r>
      <w:r>
        <w:rPr>
          <w:spacing w:val="8"/>
        </w:rPr>
        <w:t>标准或有关行业标准规定。</w:t>
      </w:r>
    </w:p>
    <w:p>
      <w:pPr>
        <w:pStyle w:val="2"/>
        <w:spacing w:before="241" w:line="336" w:lineRule="auto"/>
        <w:ind w:left="13" w:right="154" w:firstLine="635"/>
      </w:pPr>
      <w:r>
        <w:rPr>
          <w:rFonts w:ascii="黑体" w:hAnsi="黑体" w:eastAsia="黑体" w:cs="黑体"/>
          <w:spacing w:val="9"/>
        </w:rPr>
        <w:t xml:space="preserve">第四十七条  </w:t>
      </w:r>
      <w:r>
        <w:rPr>
          <w:spacing w:val="9"/>
        </w:rPr>
        <w:t>复配食品添加剂标签、说明书应当符合相关</w:t>
      </w:r>
      <w:r>
        <w:rPr>
          <w:spacing w:val="1"/>
        </w:rPr>
        <w:t xml:space="preserve"> </w:t>
      </w:r>
      <w:r>
        <w:rPr>
          <w:spacing w:val="7"/>
        </w:rPr>
        <w:t>食品安全国家标准规定。</w:t>
      </w:r>
    </w:p>
    <w:p>
      <w:pPr>
        <w:pStyle w:val="2"/>
        <w:spacing w:before="4" w:line="315" w:lineRule="auto"/>
        <w:ind w:left="7" w:right="154" w:firstLine="632"/>
      </w:pPr>
      <w:r>
        <w:rPr>
          <w:spacing w:val="3"/>
        </w:rPr>
        <w:t>（</w:t>
      </w:r>
      <w:r>
        <w:rPr>
          <w:spacing w:val="-72"/>
        </w:rPr>
        <w:t xml:space="preserve"> </w:t>
      </w:r>
      <w:r>
        <w:rPr>
          <w:spacing w:val="3"/>
        </w:rPr>
        <w:t>一）复配食品添加剂的名称应当符合命名原则。</w:t>
      </w:r>
      <w:r>
        <w:rPr>
          <w:spacing w:val="-70"/>
        </w:rPr>
        <w:t xml:space="preserve"> </w:t>
      </w:r>
      <w:r>
        <w:rPr>
          <w:spacing w:val="3"/>
        </w:rPr>
        <w:t>由单一</w:t>
      </w:r>
      <w:r>
        <w:t xml:space="preserve"> </w:t>
      </w:r>
      <w:r>
        <w:rPr>
          <w:spacing w:val="9"/>
        </w:rPr>
        <w:t>功能且功能相同的食品添加剂品种复配而成的，应当按照其在</w:t>
      </w:r>
      <w:r>
        <w:rPr>
          <w:spacing w:val="13"/>
        </w:rPr>
        <w:t xml:space="preserve"> </w:t>
      </w:r>
      <w:r>
        <w:rPr>
          <w:spacing w:val="6"/>
        </w:rPr>
        <w:t>终端食品中发挥的功能命名；</w:t>
      </w:r>
      <w:r>
        <w:rPr>
          <w:spacing w:val="-61"/>
        </w:rPr>
        <w:t xml:space="preserve"> </w:t>
      </w:r>
      <w:r>
        <w:rPr>
          <w:spacing w:val="6"/>
        </w:rPr>
        <w:t>由功能相同的多种功能食品添加</w:t>
      </w:r>
      <w:r>
        <w:t xml:space="preserve"> </w:t>
      </w:r>
      <w:r>
        <w:rPr>
          <w:spacing w:val="9"/>
        </w:rPr>
        <w:t>剂，或者不同功能的食品添加剂复配而成的，可以其在终端食</w:t>
      </w:r>
      <w:r>
        <w:rPr>
          <w:spacing w:val="13"/>
        </w:rPr>
        <w:t xml:space="preserve"> </w:t>
      </w:r>
      <w:r>
        <w:rPr>
          <w:spacing w:val="9"/>
        </w:rPr>
        <w:t>品中发挥的全部功能或者主要功能命名，也可以在命名中增加</w:t>
      </w:r>
      <w:r>
        <w:rPr>
          <w:spacing w:val="13"/>
        </w:rPr>
        <w:t xml:space="preserve"> </w:t>
      </w:r>
      <w:r>
        <w:rPr>
          <w:spacing w:val="7"/>
        </w:rPr>
        <w:t>终端食品类别名称。</w:t>
      </w:r>
    </w:p>
    <w:p>
      <w:pPr>
        <w:pStyle w:val="2"/>
        <w:spacing w:before="192" w:line="276" w:lineRule="auto"/>
        <w:ind w:left="15" w:right="231" w:firstLine="625"/>
      </w:pPr>
      <w:r>
        <w:rPr>
          <w:spacing w:val="3"/>
        </w:rPr>
        <w:t>（</w:t>
      </w:r>
      <w:r>
        <w:rPr>
          <w:spacing w:val="-64"/>
        </w:rPr>
        <w:t xml:space="preserve"> </w:t>
      </w:r>
      <w:r>
        <w:rPr>
          <w:spacing w:val="3"/>
        </w:rPr>
        <w:t>二）进入市场销售和餐饮环节使用的复配食品添加剂，</w:t>
      </w:r>
      <w:r>
        <w:t xml:space="preserve"> </w:t>
      </w:r>
      <w:r>
        <w:rPr>
          <w:spacing w:val="9"/>
        </w:rPr>
        <w:t>应当在配料表中标明各单一食品添加剂品种</w:t>
      </w:r>
      <w:r>
        <w:rPr>
          <w:spacing w:val="8"/>
        </w:rPr>
        <w:t>的名称及含量。</w:t>
      </w:r>
    </w:p>
    <w:p>
      <w:pPr>
        <w:pStyle w:val="2"/>
        <w:spacing w:before="192" w:line="305" w:lineRule="auto"/>
        <w:ind w:firstLine="640"/>
      </w:pPr>
      <w:r>
        <w:rPr>
          <w:spacing w:val="6"/>
        </w:rPr>
        <w:t>（</w:t>
      </w:r>
      <w:r>
        <w:rPr>
          <w:spacing w:val="-69"/>
        </w:rPr>
        <w:t xml:space="preserve"> </w:t>
      </w:r>
      <w:r>
        <w:rPr>
          <w:spacing w:val="6"/>
        </w:rPr>
        <w:t>三）应当在《食品安全国家标准 食品添加剂使用标准》</w:t>
      </w:r>
      <w:r>
        <w:t xml:space="preserve"> </w:t>
      </w:r>
      <w:r>
        <w:rPr>
          <w:spacing w:val="9"/>
        </w:rPr>
        <w:t>（</w:t>
      </w:r>
      <w:r>
        <w:rPr>
          <w:rFonts w:ascii="Times New Roman" w:hAnsi="Times New Roman" w:eastAsia="Times New Roman" w:cs="Times New Roman"/>
        </w:rPr>
        <w:t>GB</w:t>
      </w:r>
      <w:r>
        <w:rPr>
          <w:rFonts w:ascii="Times New Roman" w:hAnsi="Times New Roman" w:eastAsia="Times New Roman" w:cs="Times New Roman"/>
          <w:spacing w:val="9"/>
        </w:rPr>
        <w:t xml:space="preserve"> 2760</w:t>
      </w:r>
      <w:r>
        <w:rPr>
          <w:spacing w:val="9"/>
        </w:rPr>
        <w:t>）《食品安全国家标准 食品营养强化剂使用标</w:t>
      </w:r>
      <w:r>
        <w:rPr>
          <w:spacing w:val="8"/>
        </w:rPr>
        <w:t>准》</w:t>
      </w:r>
      <w:r>
        <w:t xml:space="preserve"> </w:t>
      </w:r>
      <w:r>
        <w:rPr>
          <w:spacing w:val="6"/>
        </w:rPr>
        <w:t>（</w:t>
      </w:r>
      <w:r>
        <w:rPr>
          <w:rFonts w:ascii="Times New Roman" w:hAnsi="Times New Roman" w:eastAsia="Times New Roman" w:cs="Times New Roman"/>
        </w:rPr>
        <w:t>GB</w:t>
      </w:r>
      <w:r>
        <w:rPr>
          <w:rFonts w:ascii="Times New Roman" w:hAnsi="Times New Roman" w:eastAsia="Times New Roman" w:cs="Times New Roman"/>
          <w:spacing w:val="52"/>
          <w:w w:val="101"/>
        </w:rPr>
        <w:t xml:space="preserve"> </w:t>
      </w:r>
      <w:r>
        <w:rPr>
          <w:rFonts w:ascii="Times New Roman" w:hAnsi="Times New Roman" w:eastAsia="Times New Roman" w:cs="Times New Roman"/>
          <w:spacing w:val="6"/>
        </w:rPr>
        <w:t>14880</w:t>
      </w:r>
      <w:r>
        <w:rPr>
          <w:spacing w:val="6"/>
        </w:rPr>
        <w:t>）、国务院卫生行政部门公告批准的使用范围和用</w:t>
      </w:r>
      <w:r>
        <w:t xml:space="preserve">  </w:t>
      </w:r>
      <w:r>
        <w:rPr>
          <w:spacing w:val="9"/>
        </w:rPr>
        <w:t>量内选择标示复配食品添加剂的使用范围和用量。</w:t>
      </w:r>
    </w:p>
    <w:p>
      <w:pPr>
        <w:spacing w:line="305" w:lineRule="auto"/>
        <w:sectPr>
          <w:footerReference r:id="rId29" w:type="default"/>
          <w:pgSz w:w="12240" w:h="15840"/>
          <w:pgMar w:top="1346" w:right="1646" w:bottom="897" w:left="1804" w:header="0" w:footer="723" w:gutter="0"/>
          <w:cols w:space="720" w:num="1"/>
        </w:sectPr>
      </w:pPr>
    </w:p>
    <w:p>
      <w:pPr>
        <w:pStyle w:val="2"/>
        <w:spacing w:before="325" w:line="343" w:lineRule="auto"/>
        <w:ind w:left="22" w:right="84" w:firstLine="617"/>
        <w:jc w:val="both"/>
      </w:pPr>
      <w:r>
        <w:rPr>
          <w:spacing w:val="6"/>
        </w:rPr>
        <w:t>（</w:t>
      </w:r>
      <w:r>
        <w:rPr>
          <w:spacing w:val="-62"/>
        </w:rPr>
        <w:t xml:space="preserve"> </w:t>
      </w:r>
      <w:r>
        <w:rPr>
          <w:spacing w:val="6"/>
        </w:rPr>
        <w:t>四）不得使用带有误导、虚假宣传性质的名称。不得以</w:t>
      </w:r>
      <w:r>
        <w:t xml:space="preserve"> </w:t>
      </w:r>
      <w:r>
        <w:rPr>
          <w:spacing w:val="9"/>
        </w:rPr>
        <w:t>复配食品添加剂配方中某种成分含量与市场上销售的各类</w:t>
      </w:r>
      <w:r>
        <w:rPr>
          <w:spacing w:val="8"/>
        </w:rPr>
        <w:t>食品</w:t>
      </w:r>
      <w:r>
        <w:t xml:space="preserve"> </w:t>
      </w:r>
      <w:r>
        <w:rPr>
          <w:spacing w:val="8"/>
        </w:rPr>
        <w:t>中的相应成分含量进行比较声称及宣传，误导消费者。</w:t>
      </w:r>
    </w:p>
    <w:p>
      <w:pPr>
        <w:spacing w:before="164" w:line="227" w:lineRule="auto"/>
        <w:ind w:left="1527"/>
        <w:outlineLvl w:val="1"/>
        <w:rPr>
          <w:rFonts w:ascii="黑体" w:hAnsi="黑体" w:eastAsia="黑体" w:cs="黑体"/>
          <w:sz w:val="31"/>
          <w:szCs w:val="31"/>
        </w:rPr>
      </w:pPr>
      <w:r>
        <w:rPr>
          <w:rFonts w:ascii="黑体" w:hAnsi="黑体" w:eastAsia="黑体" w:cs="黑体"/>
          <w:spacing w:val="8"/>
          <w:sz w:val="31"/>
          <w:szCs w:val="31"/>
        </w:rPr>
        <w:t>第八章 生产食品用香精的附加审查要求</w:t>
      </w:r>
    </w:p>
    <w:p>
      <w:pPr>
        <w:spacing w:line="274" w:lineRule="auto"/>
        <w:rPr>
          <w:rFonts w:ascii="Arial"/>
          <w:sz w:val="21"/>
        </w:rPr>
      </w:pPr>
    </w:p>
    <w:p>
      <w:pPr>
        <w:pStyle w:val="2"/>
        <w:spacing w:before="101" w:line="224" w:lineRule="auto"/>
        <w:ind w:left="648"/>
      </w:pPr>
      <w:r>
        <w:rPr>
          <w:rFonts w:ascii="黑体" w:hAnsi="黑体" w:eastAsia="黑体" w:cs="黑体"/>
          <w:spacing w:val="9"/>
        </w:rPr>
        <w:t xml:space="preserve">第四十八条  </w:t>
      </w:r>
      <w:r>
        <w:rPr>
          <w:spacing w:val="9"/>
        </w:rPr>
        <w:t>企业生产食品用香精应当建立并执行产品配</w:t>
      </w:r>
    </w:p>
    <w:p>
      <w:pPr>
        <w:pStyle w:val="2"/>
        <w:spacing w:before="219" w:line="222" w:lineRule="auto"/>
        <w:ind w:left="13"/>
      </w:pPr>
      <w:r>
        <w:rPr>
          <w:spacing w:val="5"/>
        </w:rPr>
        <w:t>方管理制度。</w:t>
      </w:r>
    </w:p>
    <w:p>
      <w:pPr>
        <w:pStyle w:val="2"/>
        <w:spacing w:before="221" w:line="338" w:lineRule="auto"/>
        <w:ind w:left="11" w:right="84" w:firstLine="629"/>
      </w:pPr>
      <w:r>
        <w:rPr>
          <w:spacing w:val="6"/>
        </w:rPr>
        <w:t>（</w:t>
      </w:r>
      <w:r>
        <w:rPr>
          <w:spacing w:val="-62"/>
        </w:rPr>
        <w:t xml:space="preserve"> </w:t>
      </w:r>
      <w:r>
        <w:rPr>
          <w:spacing w:val="6"/>
        </w:rPr>
        <w:t>一）具备产品配方研发必需的研发场所、设备设施；制</w:t>
      </w:r>
      <w:r>
        <w:t xml:space="preserve"> </w:t>
      </w:r>
      <w:r>
        <w:rPr>
          <w:spacing w:val="9"/>
        </w:rPr>
        <w:t>定研发人员管理规定，配备相应的专职或兼职研发</w:t>
      </w:r>
      <w:r>
        <w:rPr>
          <w:spacing w:val="8"/>
        </w:rPr>
        <w:t>人员。</w:t>
      </w:r>
    </w:p>
    <w:p>
      <w:pPr>
        <w:pStyle w:val="2"/>
        <w:spacing w:before="4" w:line="323" w:lineRule="auto"/>
        <w:ind w:left="7" w:right="84" w:firstLine="643"/>
      </w:pPr>
      <w:r>
        <w:rPr>
          <w:spacing w:val="9"/>
        </w:rPr>
        <w:t>企业可以委托具有配方研发能力的机构进行配方研发，也</w:t>
      </w:r>
      <w:r>
        <w:rPr>
          <w:spacing w:val="7"/>
        </w:rPr>
        <w:t xml:space="preserve"> </w:t>
      </w:r>
      <w:r>
        <w:rPr>
          <w:spacing w:val="9"/>
        </w:rPr>
        <w:t>可以购买具有配方研发能力的机构所研发的产品配方，并由机</w:t>
      </w:r>
      <w:r>
        <w:rPr>
          <w:spacing w:val="13"/>
        </w:rPr>
        <w:t xml:space="preserve"> </w:t>
      </w:r>
      <w:r>
        <w:rPr>
          <w:spacing w:val="7"/>
        </w:rPr>
        <w:t>构对企业提供技术支持。</w:t>
      </w:r>
    </w:p>
    <w:p>
      <w:pPr>
        <w:pStyle w:val="2"/>
        <w:spacing w:before="101" w:line="288" w:lineRule="auto"/>
        <w:ind w:left="47" w:right="83" w:firstLine="592"/>
      </w:pPr>
      <w:r>
        <w:rPr>
          <w:spacing w:val="7"/>
        </w:rPr>
        <w:t>（</w:t>
      </w:r>
      <w:r>
        <w:rPr>
          <w:spacing w:val="-81"/>
        </w:rPr>
        <w:t xml:space="preserve"> </w:t>
      </w:r>
      <w:r>
        <w:rPr>
          <w:spacing w:val="7"/>
        </w:rPr>
        <w:t>二）制定并执行产品配方研发管理规定，</w:t>
      </w:r>
      <w:r>
        <w:rPr>
          <w:spacing w:val="6"/>
        </w:rPr>
        <w:t>确保配方、产</w:t>
      </w:r>
      <w:r>
        <w:t xml:space="preserve"> </w:t>
      </w:r>
      <w:r>
        <w:rPr>
          <w:spacing w:val="7"/>
        </w:rPr>
        <w:t>品符合食品安全国家标准、国务院卫生行政部门公告规定。</w:t>
      </w:r>
    </w:p>
    <w:p>
      <w:pPr>
        <w:pStyle w:val="2"/>
        <w:spacing w:before="219" w:line="310" w:lineRule="auto"/>
        <w:ind w:firstLine="640"/>
      </w:pPr>
      <w:r>
        <w:rPr>
          <w:spacing w:val="6"/>
        </w:rPr>
        <w:t>（</w:t>
      </w:r>
      <w:r>
        <w:rPr>
          <w:spacing w:val="-62"/>
        </w:rPr>
        <w:t xml:space="preserve"> </w:t>
      </w:r>
      <w:r>
        <w:rPr>
          <w:spacing w:val="6"/>
        </w:rPr>
        <w:t>三）用于配制食品用香精的食品用香料的品种应当符合</w:t>
      </w:r>
      <w:r>
        <w:t xml:space="preserve"> 《食品安全国家标准 食品添加剂使用标准》（</w:t>
      </w:r>
      <w:r>
        <w:rPr>
          <w:rFonts w:ascii="Times New Roman" w:hAnsi="Times New Roman" w:eastAsia="Times New Roman" w:cs="Times New Roman"/>
        </w:rPr>
        <w:t>GB 276</w:t>
      </w:r>
      <w:r>
        <w:rPr>
          <w:rFonts w:ascii="Times New Roman" w:hAnsi="Times New Roman" w:eastAsia="Times New Roman" w:cs="Times New Roman"/>
          <w:spacing w:val="-1"/>
        </w:rPr>
        <w:t>0</w:t>
      </w:r>
      <w:r>
        <w:rPr>
          <w:spacing w:val="-1"/>
        </w:rPr>
        <w:t>）规定，</w:t>
      </w:r>
      <w:r>
        <w:t xml:space="preserve"> </w:t>
      </w:r>
      <w:r>
        <w:rPr>
          <w:spacing w:val="9"/>
        </w:rPr>
        <w:t>其产品质量规格标准应当符合相应食品安全国家标准规定。</w:t>
      </w:r>
    </w:p>
    <w:p>
      <w:pPr>
        <w:pStyle w:val="2"/>
        <w:spacing w:before="228" w:line="327" w:lineRule="auto"/>
        <w:ind w:left="7" w:right="84" w:firstLine="632"/>
      </w:pPr>
      <w:r>
        <w:rPr>
          <w:spacing w:val="6"/>
        </w:rPr>
        <w:t>（</w:t>
      </w:r>
      <w:r>
        <w:rPr>
          <w:spacing w:val="-61"/>
        </w:rPr>
        <w:t xml:space="preserve"> </w:t>
      </w:r>
      <w:r>
        <w:rPr>
          <w:spacing w:val="6"/>
        </w:rPr>
        <w:t>四）食品用香精辅料（溶剂、载体、其他辅料）</w:t>
      </w:r>
      <w:r>
        <w:rPr>
          <w:spacing w:val="5"/>
        </w:rPr>
        <w:t>应当符</w:t>
      </w:r>
      <w:r>
        <w:t xml:space="preserve"> </w:t>
      </w:r>
      <w:r>
        <w:rPr>
          <w:spacing w:val="9"/>
        </w:rPr>
        <w:t>合《食品安全国家标准 食品用香精》（</w:t>
      </w:r>
      <w:r>
        <w:rPr>
          <w:spacing w:val="-93"/>
        </w:rPr>
        <w:t xml:space="preserve"> </w:t>
      </w:r>
      <w:r>
        <w:rPr>
          <w:rFonts w:ascii="Times New Roman" w:hAnsi="Times New Roman" w:eastAsia="Times New Roman" w:cs="Times New Roman"/>
        </w:rPr>
        <w:t>GB</w:t>
      </w:r>
      <w:r>
        <w:rPr>
          <w:rFonts w:ascii="Times New Roman" w:hAnsi="Times New Roman" w:eastAsia="Times New Roman" w:cs="Times New Roman"/>
          <w:spacing w:val="9"/>
        </w:rPr>
        <w:t xml:space="preserve"> 3061</w:t>
      </w:r>
      <w:r>
        <w:rPr>
          <w:rFonts w:ascii="Times New Roman" w:hAnsi="Times New Roman" w:eastAsia="Times New Roman" w:cs="Times New Roman"/>
          <w:spacing w:val="8"/>
        </w:rPr>
        <w:t>6</w:t>
      </w:r>
      <w:r>
        <w:rPr>
          <w:rFonts w:ascii="Times New Roman" w:hAnsi="Times New Roman" w:eastAsia="Times New Roman" w:cs="Times New Roman"/>
          <w:spacing w:val="-29"/>
        </w:rPr>
        <w:t xml:space="preserve"> </w:t>
      </w:r>
      <w:r>
        <w:rPr>
          <w:spacing w:val="8"/>
        </w:rPr>
        <w:t>）规定；配</w:t>
      </w:r>
      <w:r>
        <w:t xml:space="preserve"> </w:t>
      </w:r>
      <w:r>
        <w:rPr>
          <w:spacing w:val="9"/>
        </w:rPr>
        <w:t>制过程中添加到食品用香精中的食品添加剂不应在最终食品中</w:t>
      </w:r>
      <w:r>
        <w:rPr>
          <w:spacing w:val="13"/>
        </w:rPr>
        <w:t xml:space="preserve"> </w:t>
      </w:r>
      <w:r>
        <w:rPr>
          <w:spacing w:val="9"/>
        </w:rPr>
        <w:t>发挥功能作用；配制香精使用的食品原料应当符合食品安全标</w:t>
      </w:r>
      <w:r>
        <w:rPr>
          <w:spacing w:val="13"/>
        </w:rPr>
        <w:t xml:space="preserve"> </w:t>
      </w:r>
      <w:r>
        <w:rPr>
          <w:spacing w:val="-2"/>
        </w:rPr>
        <w:t>准。</w:t>
      </w:r>
    </w:p>
    <w:p>
      <w:pPr>
        <w:spacing w:line="327" w:lineRule="auto"/>
        <w:sectPr>
          <w:footerReference r:id="rId30" w:type="default"/>
          <w:pgSz w:w="12240" w:h="15840"/>
          <w:pgMar w:top="1346" w:right="1716" w:bottom="897" w:left="1804" w:header="0" w:footer="723" w:gutter="0"/>
          <w:cols w:space="720" w:num="1"/>
        </w:sectPr>
      </w:pPr>
    </w:p>
    <w:p>
      <w:pPr>
        <w:pStyle w:val="2"/>
        <w:spacing w:before="321" w:line="338" w:lineRule="auto"/>
        <w:ind w:right="166" w:firstLine="636"/>
      </w:pPr>
      <w:r>
        <w:rPr>
          <w:spacing w:val="4"/>
        </w:rPr>
        <w:t>（</w:t>
      </w:r>
      <w:r>
        <w:rPr>
          <w:spacing w:val="-87"/>
        </w:rPr>
        <w:t xml:space="preserve"> </w:t>
      </w:r>
      <w:r>
        <w:rPr>
          <w:spacing w:val="4"/>
        </w:rPr>
        <w:t>五）配方研发过程中产生的数据、文件应当妥善保</w:t>
      </w:r>
      <w:r>
        <w:rPr>
          <w:spacing w:val="3"/>
        </w:rPr>
        <w:t>管，</w:t>
      </w:r>
      <w:r>
        <w:t xml:space="preserve"> </w:t>
      </w:r>
      <w:r>
        <w:rPr>
          <w:spacing w:val="6"/>
        </w:rPr>
        <w:t>保留完整。</w:t>
      </w:r>
    </w:p>
    <w:p>
      <w:pPr>
        <w:pStyle w:val="2"/>
        <w:spacing w:before="58" w:line="343" w:lineRule="auto"/>
        <w:ind w:left="10" w:right="91" w:firstLine="593"/>
        <w:rPr>
          <w:sz w:val="30"/>
          <w:szCs w:val="30"/>
        </w:rPr>
      </w:pPr>
      <w:r>
        <w:rPr>
          <w:rFonts w:ascii="黑体" w:hAnsi="黑体" w:eastAsia="黑体" w:cs="黑体"/>
          <w:spacing w:val="6"/>
        </w:rPr>
        <w:t xml:space="preserve">第四十九条  </w:t>
      </w:r>
      <w:r>
        <w:rPr>
          <w:spacing w:val="6"/>
          <w:sz w:val="30"/>
          <w:szCs w:val="30"/>
        </w:rPr>
        <w:t>食品用热加工香味料生产工艺和关键控制参数</w:t>
      </w:r>
      <w:r>
        <w:rPr>
          <w:spacing w:val="2"/>
          <w:sz w:val="30"/>
          <w:szCs w:val="30"/>
        </w:rPr>
        <w:t xml:space="preserve"> </w:t>
      </w:r>
      <w:r>
        <w:rPr>
          <w:spacing w:val="-2"/>
          <w:sz w:val="30"/>
          <w:szCs w:val="30"/>
        </w:rPr>
        <w:t>应当符合食品安全国家标准的要求。</w:t>
      </w:r>
    </w:p>
    <w:p>
      <w:pPr>
        <w:pStyle w:val="2"/>
        <w:spacing w:before="50" w:line="347" w:lineRule="auto"/>
        <w:ind w:left="1" w:right="88" w:firstLine="602"/>
        <w:rPr>
          <w:sz w:val="30"/>
          <w:szCs w:val="30"/>
        </w:rPr>
      </w:pPr>
      <w:r>
        <w:rPr>
          <w:rFonts w:ascii="黑体" w:hAnsi="黑体" w:eastAsia="黑体" w:cs="黑体"/>
          <w:spacing w:val="4"/>
        </w:rPr>
        <w:t xml:space="preserve">第五十条  </w:t>
      </w:r>
      <w:r>
        <w:rPr>
          <w:spacing w:val="4"/>
          <w:sz w:val="30"/>
          <w:szCs w:val="30"/>
        </w:rPr>
        <w:t>食品用香精标签、说明书除符合</w:t>
      </w:r>
      <w:r>
        <w:rPr>
          <w:spacing w:val="4"/>
        </w:rPr>
        <w:t>《食品安全</w:t>
      </w:r>
      <w:r>
        <w:rPr>
          <w:spacing w:val="3"/>
        </w:rPr>
        <w:t>国家</w:t>
      </w:r>
      <w:r>
        <w:t xml:space="preserve"> </w:t>
      </w:r>
      <w:r>
        <w:rPr>
          <w:spacing w:val="7"/>
        </w:rPr>
        <w:t>标准 食品添加剂标识通则》</w:t>
      </w:r>
      <w:r>
        <w:rPr>
          <w:spacing w:val="7"/>
          <w:sz w:val="30"/>
          <w:szCs w:val="30"/>
        </w:rPr>
        <w:t>（</w:t>
      </w:r>
      <w:r>
        <w:rPr>
          <w:rFonts w:ascii="Times New Roman" w:hAnsi="Times New Roman" w:eastAsia="Times New Roman" w:cs="Times New Roman"/>
          <w:sz w:val="30"/>
          <w:szCs w:val="30"/>
        </w:rPr>
        <w:t>GB</w:t>
      </w:r>
      <w:r>
        <w:rPr>
          <w:rFonts w:ascii="Times New Roman" w:hAnsi="Times New Roman" w:eastAsia="Times New Roman" w:cs="Times New Roman"/>
          <w:spacing w:val="7"/>
          <w:sz w:val="30"/>
          <w:szCs w:val="30"/>
        </w:rPr>
        <w:t xml:space="preserve"> 29924</w:t>
      </w:r>
      <w:r>
        <w:rPr>
          <w:spacing w:val="7"/>
          <w:sz w:val="30"/>
          <w:szCs w:val="30"/>
        </w:rPr>
        <w:t>）外，还应当符合以下</w:t>
      </w:r>
      <w:r>
        <w:rPr>
          <w:spacing w:val="2"/>
          <w:sz w:val="30"/>
          <w:szCs w:val="30"/>
        </w:rPr>
        <w:t xml:space="preserve"> </w:t>
      </w:r>
      <w:r>
        <w:rPr>
          <w:spacing w:val="-4"/>
          <w:sz w:val="30"/>
          <w:szCs w:val="30"/>
        </w:rPr>
        <w:t>要求：</w:t>
      </w:r>
    </w:p>
    <w:p>
      <w:pPr>
        <w:pStyle w:val="2"/>
        <w:spacing w:before="12" w:line="321" w:lineRule="auto"/>
        <w:ind w:left="1" w:firstLine="635"/>
      </w:pPr>
      <w:r>
        <w:rPr>
          <w:spacing w:val="8"/>
        </w:rPr>
        <w:t>（</w:t>
      </w:r>
      <w:r>
        <w:rPr>
          <w:spacing w:val="-78"/>
        </w:rPr>
        <w:t xml:space="preserve"> </w:t>
      </w:r>
      <w:r>
        <w:rPr>
          <w:spacing w:val="8"/>
        </w:rPr>
        <w:t>一）食品用香精应当明确标示</w:t>
      </w:r>
      <w:r>
        <w:rPr>
          <w:rFonts w:ascii="Times New Roman" w:hAnsi="Times New Roman" w:eastAsia="Times New Roman" w:cs="Times New Roman"/>
          <w:spacing w:val="8"/>
        </w:rPr>
        <w:t>“</w:t>
      </w:r>
      <w:r>
        <w:rPr>
          <w:spacing w:val="8"/>
        </w:rPr>
        <w:t>食品用香</w:t>
      </w:r>
      <w:r>
        <w:rPr>
          <w:spacing w:val="7"/>
        </w:rPr>
        <w:t>精</w:t>
      </w:r>
      <w:r>
        <w:rPr>
          <w:rFonts w:ascii="Times New Roman" w:hAnsi="Times New Roman" w:eastAsia="Times New Roman" w:cs="Times New Roman"/>
          <w:spacing w:val="7"/>
        </w:rPr>
        <w:t>”</w:t>
      </w:r>
      <w:r>
        <w:rPr>
          <w:spacing w:val="7"/>
        </w:rPr>
        <w:t>字样，使用</w:t>
      </w:r>
      <w:r>
        <w:t xml:space="preserve"> </w:t>
      </w:r>
      <w:r>
        <w:rPr>
          <w:spacing w:val="1"/>
        </w:rPr>
        <w:t>与所标示产品的香气、香味、生产工艺等相适应的名称和型号。</w:t>
      </w:r>
      <w:r>
        <w:rPr>
          <w:spacing w:val="10"/>
        </w:rPr>
        <w:t xml:space="preserve"> </w:t>
      </w:r>
      <w:r>
        <w:rPr>
          <w:spacing w:val="9"/>
        </w:rPr>
        <w:t>不应使用食品安全国家标准明确规定不得添加食品用香料、香</w:t>
      </w:r>
      <w:r>
        <w:rPr>
          <w:spacing w:val="15"/>
        </w:rPr>
        <w:t xml:space="preserve"> </w:t>
      </w:r>
      <w:r>
        <w:rPr>
          <w:spacing w:val="9"/>
        </w:rPr>
        <w:t>精的食品名称直接命名食品用香料、香精，不应造成误解或混</w:t>
      </w:r>
      <w:r>
        <w:rPr>
          <w:spacing w:val="13"/>
        </w:rPr>
        <w:t xml:space="preserve"> </w:t>
      </w:r>
      <w:r>
        <w:rPr>
          <w:spacing w:val="-1"/>
        </w:rPr>
        <w:t>淆。</w:t>
      </w:r>
    </w:p>
    <w:p>
      <w:pPr>
        <w:pStyle w:val="2"/>
        <w:spacing w:before="222" w:line="331" w:lineRule="auto"/>
        <w:ind w:left="11" w:right="86" w:firstLine="625"/>
      </w:pPr>
      <w:r>
        <w:rPr>
          <w:spacing w:val="7"/>
        </w:rPr>
        <w:t>（</w:t>
      </w:r>
      <w:r>
        <w:rPr>
          <w:spacing w:val="-81"/>
        </w:rPr>
        <w:t xml:space="preserve"> </w:t>
      </w:r>
      <w:r>
        <w:rPr>
          <w:spacing w:val="7"/>
        </w:rPr>
        <w:t>二）食品用香精可在食品用香精名称前或</w:t>
      </w:r>
      <w:r>
        <w:rPr>
          <w:spacing w:val="6"/>
        </w:rPr>
        <w:t>名称后附加相</w:t>
      </w:r>
      <w:r>
        <w:t xml:space="preserve"> </w:t>
      </w:r>
      <w:r>
        <w:rPr>
          <w:spacing w:val="9"/>
        </w:rPr>
        <w:t>应的词或短语，如液体香精、乳化香精、浆膏状香精、拌和型</w:t>
      </w:r>
      <w:r>
        <w:rPr>
          <w:spacing w:val="5"/>
        </w:rPr>
        <w:t xml:space="preserve"> </w:t>
      </w:r>
      <w:r>
        <w:rPr>
          <w:spacing w:val="9"/>
        </w:rPr>
        <w:t>固体（粉末）香精、胶囊型固体（粉末）香精等，但应当在所</w:t>
      </w:r>
      <w:r>
        <w:rPr>
          <w:spacing w:val="5"/>
        </w:rPr>
        <w:t xml:space="preserve"> </w:t>
      </w:r>
      <w:r>
        <w:rPr>
          <w:spacing w:val="3"/>
        </w:rPr>
        <w:t>示名称的同一展示版面标示《食品安全国家标准 食品添加剂标</w:t>
      </w:r>
      <w:r>
        <w:rPr>
          <w:spacing w:val="9"/>
        </w:rPr>
        <w:t xml:space="preserve"> </w:t>
      </w:r>
      <w:r>
        <w:rPr>
          <w:spacing w:val="7"/>
        </w:rPr>
        <w:t>识通则》（</w:t>
      </w:r>
      <w:r>
        <w:rPr>
          <w:rFonts w:ascii="Times New Roman" w:hAnsi="Times New Roman" w:eastAsia="Times New Roman" w:cs="Times New Roman"/>
        </w:rPr>
        <w:t>GB</w:t>
      </w:r>
      <w:r>
        <w:rPr>
          <w:rFonts w:ascii="Times New Roman" w:hAnsi="Times New Roman" w:eastAsia="Times New Roman" w:cs="Times New Roman"/>
          <w:spacing w:val="7"/>
        </w:rPr>
        <w:t xml:space="preserve"> 29924</w:t>
      </w:r>
      <w:r>
        <w:rPr>
          <w:spacing w:val="7"/>
        </w:rPr>
        <w:t>）规定的名称，且字号不能大于规定名称</w:t>
      </w:r>
      <w:r>
        <w:rPr>
          <w:spacing w:val="4"/>
        </w:rPr>
        <w:t xml:space="preserve"> </w:t>
      </w:r>
      <w:r>
        <w:rPr>
          <w:spacing w:val="2"/>
        </w:rPr>
        <w:t>的字样。</w:t>
      </w:r>
    </w:p>
    <w:p>
      <w:pPr>
        <w:pStyle w:val="2"/>
        <w:spacing w:before="227" w:line="309" w:lineRule="auto"/>
        <w:ind w:left="7" w:right="89" w:firstLine="629"/>
      </w:pPr>
      <w:r>
        <w:rPr>
          <w:spacing w:val="7"/>
        </w:rPr>
        <w:t>（</w:t>
      </w:r>
      <w:r>
        <w:rPr>
          <w:spacing w:val="-59"/>
        </w:rPr>
        <w:t xml:space="preserve"> </w:t>
      </w:r>
      <w:r>
        <w:rPr>
          <w:spacing w:val="7"/>
        </w:rPr>
        <w:t>三）食品用香精中的食品用香料应当以</w:t>
      </w:r>
      <w:r>
        <w:rPr>
          <w:rFonts w:ascii="Times New Roman" w:hAnsi="Times New Roman" w:eastAsia="Times New Roman" w:cs="Times New Roman"/>
          <w:spacing w:val="7"/>
        </w:rPr>
        <w:t>“</w:t>
      </w:r>
      <w:r>
        <w:rPr>
          <w:spacing w:val="7"/>
        </w:rPr>
        <w:t>食品用香料</w:t>
      </w:r>
      <w:r>
        <w:rPr>
          <w:rFonts w:ascii="Times New Roman" w:hAnsi="Times New Roman" w:eastAsia="Times New Roman" w:cs="Times New Roman"/>
          <w:spacing w:val="7"/>
        </w:rPr>
        <w:t>”</w:t>
      </w:r>
      <w:r>
        <w:rPr>
          <w:spacing w:val="7"/>
        </w:rPr>
        <w:t>字</w:t>
      </w:r>
      <w:r>
        <w:t xml:space="preserve"> </w:t>
      </w:r>
      <w:r>
        <w:rPr>
          <w:spacing w:val="9"/>
        </w:rPr>
        <w:t xml:space="preserve">样标示。在食品用香精配制或加工过程中加入的食品用香精辅 </w:t>
      </w:r>
      <w:r>
        <w:rPr>
          <w:spacing w:val="7"/>
        </w:rPr>
        <w:t>料用</w:t>
      </w:r>
      <w:r>
        <w:rPr>
          <w:rFonts w:ascii="Times New Roman" w:hAnsi="Times New Roman" w:eastAsia="Times New Roman" w:cs="Times New Roman"/>
          <w:spacing w:val="7"/>
        </w:rPr>
        <w:t>“</w:t>
      </w:r>
      <w:r>
        <w:rPr>
          <w:spacing w:val="7"/>
        </w:rPr>
        <w:t>食品用香精辅料</w:t>
      </w:r>
      <w:r>
        <w:rPr>
          <w:rFonts w:ascii="Times New Roman" w:hAnsi="Times New Roman" w:eastAsia="Times New Roman" w:cs="Times New Roman"/>
          <w:spacing w:val="7"/>
        </w:rPr>
        <w:t>”</w:t>
      </w:r>
      <w:r>
        <w:rPr>
          <w:spacing w:val="7"/>
        </w:rPr>
        <w:t>字样标示。</w:t>
      </w:r>
    </w:p>
    <w:p>
      <w:pPr>
        <w:spacing w:line="309" w:lineRule="auto"/>
        <w:sectPr>
          <w:footerReference r:id="rId31" w:type="default"/>
          <w:pgSz w:w="12240" w:h="15840"/>
          <w:pgMar w:top="1346" w:right="1711" w:bottom="897" w:left="1808" w:header="0" w:footer="724" w:gutter="0"/>
          <w:cols w:space="720" w:num="1"/>
        </w:sectPr>
      </w:pPr>
    </w:p>
    <w:p>
      <w:pPr>
        <w:pStyle w:val="2"/>
        <w:spacing w:before="285" w:line="304" w:lineRule="auto"/>
        <w:ind w:left="13" w:right="1" w:firstLine="625"/>
      </w:pPr>
      <w:r>
        <w:rPr>
          <w:spacing w:val="6"/>
        </w:rPr>
        <w:t>（</w:t>
      </w:r>
      <w:r>
        <w:rPr>
          <w:spacing w:val="-62"/>
        </w:rPr>
        <w:t xml:space="preserve"> </w:t>
      </w:r>
      <w:r>
        <w:rPr>
          <w:spacing w:val="6"/>
        </w:rPr>
        <w:t>四）凡因含有食品用热加工香味料而无法检测相对密度</w:t>
      </w:r>
      <w:r>
        <w:t xml:space="preserve"> </w:t>
      </w:r>
      <w:r>
        <w:rPr>
          <w:spacing w:val="9"/>
        </w:rPr>
        <w:t>和折光指数的液体香精，其产品标签上应当标示本产品含有食</w:t>
      </w:r>
      <w:r>
        <w:rPr>
          <w:spacing w:val="5"/>
        </w:rPr>
        <w:t xml:space="preserve"> </w:t>
      </w:r>
      <w:r>
        <w:rPr>
          <w:spacing w:val="6"/>
        </w:rPr>
        <w:t>品用热加工香味料。</w:t>
      </w:r>
    </w:p>
    <w:p>
      <w:pPr>
        <w:pStyle w:val="2"/>
        <w:spacing w:before="209" w:line="284" w:lineRule="auto"/>
        <w:ind w:left="25" w:firstLine="612"/>
        <w:rPr>
          <w:rFonts w:ascii="Times New Roman" w:hAnsi="Times New Roman" w:eastAsia="Times New Roman" w:cs="Times New Roman"/>
        </w:rPr>
      </w:pPr>
      <w:r>
        <w:rPr>
          <w:spacing w:val="7"/>
        </w:rPr>
        <w:t>（</w:t>
      </w:r>
      <w:r>
        <w:rPr>
          <w:spacing w:val="-86"/>
        </w:rPr>
        <w:t xml:space="preserve"> </w:t>
      </w:r>
      <w:r>
        <w:rPr>
          <w:spacing w:val="7"/>
        </w:rPr>
        <w:t>五）在食品用香精中加入食品添加剂着色剂、甜味剂、</w:t>
      </w:r>
      <w:r>
        <w:t xml:space="preserve"> </w:t>
      </w:r>
      <w:r>
        <w:rPr>
          <w:spacing w:val="-12"/>
        </w:rPr>
        <w:t>咖啡因，应当按《食品安全国家标准 食品添加剂使用标准》（</w:t>
      </w:r>
      <w:r>
        <w:rPr>
          <w:rFonts w:ascii="Times New Roman" w:hAnsi="Times New Roman" w:eastAsia="Times New Roman" w:cs="Times New Roman"/>
          <w:spacing w:val="-12"/>
        </w:rPr>
        <w:t>GB</w:t>
      </w:r>
    </w:p>
    <w:p>
      <w:pPr>
        <w:pStyle w:val="2"/>
        <w:spacing w:before="206" w:line="283" w:lineRule="auto"/>
        <w:ind w:left="40" w:right="3" w:hanging="41"/>
      </w:pPr>
      <w:r>
        <w:rPr>
          <w:rFonts w:ascii="Times New Roman" w:hAnsi="Times New Roman" w:eastAsia="Times New Roman" w:cs="Times New Roman"/>
          <w:spacing w:val="9"/>
        </w:rPr>
        <w:t>2760</w:t>
      </w:r>
      <w:r>
        <w:rPr>
          <w:spacing w:val="9"/>
        </w:rPr>
        <w:t>）、食品添加剂的产品质量规格标准和国务院卫生行</w:t>
      </w:r>
      <w:r>
        <w:rPr>
          <w:spacing w:val="8"/>
        </w:rPr>
        <w:t>政部</w:t>
      </w:r>
      <w:r>
        <w:t xml:space="preserve"> </w:t>
      </w:r>
      <w:r>
        <w:rPr>
          <w:spacing w:val="7"/>
        </w:rPr>
        <w:t>门公告批准使用的食品添加剂中的规定标示具体名称。</w:t>
      </w:r>
    </w:p>
    <w:p>
      <w:pPr>
        <w:pStyle w:val="2"/>
        <w:spacing w:before="210" w:line="284" w:lineRule="auto"/>
        <w:ind w:left="9" w:right="1" w:firstLine="629"/>
        <w:rPr>
          <w:rFonts w:ascii="Times New Roman" w:hAnsi="Times New Roman" w:eastAsia="Times New Roman" w:cs="Times New Roman"/>
        </w:rPr>
      </w:pPr>
      <w:r>
        <w:rPr>
          <w:spacing w:val="7"/>
        </w:rPr>
        <w:t>（</w:t>
      </w:r>
      <w:r>
        <w:rPr>
          <w:spacing w:val="-85"/>
        </w:rPr>
        <w:t xml:space="preserve"> </w:t>
      </w:r>
      <w:r>
        <w:rPr>
          <w:spacing w:val="7"/>
        </w:rPr>
        <w:t>六）食品用香精使用范围应规范标示，不得超出标</w:t>
      </w:r>
      <w:r>
        <w:rPr>
          <w:spacing w:val="6"/>
        </w:rPr>
        <w:t>准规</w:t>
      </w:r>
      <w:r>
        <w:t xml:space="preserve"> </w:t>
      </w:r>
      <w:r>
        <w:rPr>
          <w:spacing w:val="-1"/>
        </w:rPr>
        <w:t>定范围或包括《食品安全国家标准 食品添加剂使用标准》（</w:t>
      </w:r>
      <w:r>
        <w:rPr>
          <w:rFonts w:ascii="Times New Roman" w:hAnsi="Times New Roman" w:eastAsia="Times New Roman" w:cs="Times New Roman"/>
          <w:spacing w:val="-1"/>
        </w:rPr>
        <w:t>GB</w:t>
      </w:r>
    </w:p>
    <w:p>
      <w:pPr>
        <w:pStyle w:val="2"/>
        <w:spacing w:before="203" w:line="285" w:lineRule="auto"/>
        <w:ind w:left="22" w:right="1" w:hanging="22"/>
      </w:pPr>
      <w:r>
        <w:rPr>
          <w:rFonts w:ascii="Times New Roman" w:hAnsi="Times New Roman" w:eastAsia="Times New Roman" w:cs="Times New Roman"/>
          <w:spacing w:val="9"/>
        </w:rPr>
        <w:t>2760</w:t>
      </w:r>
      <w:r>
        <w:rPr>
          <w:spacing w:val="9"/>
        </w:rPr>
        <w:t>）规定的不得添加食品用香料、香精的食品名单中的食品</w:t>
      </w:r>
      <w:r>
        <w:t xml:space="preserve"> </w:t>
      </w:r>
      <w:r>
        <w:rPr>
          <w:spacing w:val="-4"/>
        </w:rPr>
        <w:t>类别。</w:t>
      </w:r>
    </w:p>
    <w:p>
      <w:pPr>
        <w:spacing w:line="254" w:lineRule="auto"/>
        <w:rPr>
          <w:rFonts w:ascii="Arial"/>
          <w:sz w:val="21"/>
        </w:rPr>
      </w:pPr>
    </w:p>
    <w:p>
      <w:pPr>
        <w:spacing w:before="100" w:line="226" w:lineRule="auto"/>
        <w:ind w:left="2484"/>
        <w:outlineLvl w:val="1"/>
        <w:rPr>
          <w:rFonts w:ascii="黑体" w:hAnsi="黑体" w:eastAsia="黑体" w:cs="黑体"/>
          <w:sz w:val="31"/>
          <w:szCs w:val="31"/>
        </w:rPr>
      </w:pPr>
      <w:r>
        <w:rPr>
          <w:rFonts w:ascii="黑体" w:hAnsi="黑体" w:eastAsia="黑体" w:cs="黑体"/>
          <w:spacing w:val="8"/>
          <w:sz w:val="31"/>
          <w:szCs w:val="31"/>
        </w:rPr>
        <w:t>第九章 试制产品检验报告</w:t>
      </w:r>
    </w:p>
    <w:p>
      <w:pPr>
        <w:spacing w:line="278" w:lineRule="auto"/>
        <w:rPr>
          <w:rFonts w:ascii="Arial"/>
          <w:sz w:val="21"/>
        </w:rPr>
      </w:pPr>
    </w:p>
    <w:p>
      <w:pPr>
        <w:pStyle w:val="2"/>
        <w:spacing w:before="101" w:line="342" w:lineRule="auto"/>
        <w:ind w:left="12" w:right="1" w:firstLine="634"/>
        <w:jc w:val="both"/>
      </w:pPr>
      <w:r>
        <w:rPr>
          <w:rFonts w:ascii="黑体" w:hAnsi="黑体" w:eastAsia="黑体" w:cs="黑体"/>
          <w:spacing w:val="9"/>
        </w:rPr>
        <w:t xml:space="preserve">第五十一条  </w:t>
      </w:r>
      <w:r>
        <w:rPr>
          <w:spacing w:val="9"/>
        </w:rPr>
        <w:t>企业应当按所申报食品添加剂品种和执行标</w:t>
      </w:r>
      <w:r>
        <w:rPr>
          <w:spacing w:val="1"/>
        </w:rPr>
        <w:t xml:space="preserve"> </w:t>
      </w:r>
      <w:r>
        <w:rPr>
          <w:spacing w:val="9"/>
        </w:rPr>
        <w:t>准，从同一品种、同一配方、同一工艺、同一批次的试制产品</w:t>
      </w:r>
      <w:r>
        <w:rPr>
          <w:spacing w:val="6"/>
        </w:rPr>
        <w:t xml:space="preserve"> </w:t>
      </w:r>
      <w:r>
        <w:rPr>
          <w:spacing w:val="8"/>
        </w:rPr>
        <w:t>中抽取具有代表性的产品进行检验。</w:t>
      </w:r>
    </w:p>
    <w:p>
      <w:pPr>
        <w:pStyle w:val="2"/>
        <w:spacing w:before="8" w:line="322" w:lineRule="auto"/>
        <w:ind w:left="10" w:right="1" w:firstLine="650"/>
        <w:jc w:val="both"/>
      </w:pPr>
      <w:r>
        <w:rPr>
          <w:spacing w:val="9"/>
        </w:rPr>
        <w:t>复配食品添加剂产品具有相同的食品添加剂单</w:t>
      </w:r>
      <w:r>
        <w:rPr>
          <w:spacing w:val="8"/>
        </w:rPr>
        <w:t>一品种和辅</w:t>
      </w:r>
      <w:r>
        <w:t xml:space="preserve"> </w:t>
      </w:r>
      <w:r>
        <w:rPr>
          <w:spacing w:val="9"/>
        </w:rPr>
        <w:t>料，在名称、功能、使用范围不发生变化的情况下，仅各组分</w:t>
      </w:r>
      <w:r>
        <w:rPr>
          <w:spacing w:val="5"/>
        </w:rPr>
        <w:t xml:space="preserve"> </w:t>
      </w:r>
      <w:r>
        <w:rPr>
          <w:spacing w:val="8"/>
        </w:rPr>
        <w:t>配比不同的可以按照同一配方抽取检验。</w:t>
      </w:r>
    </w:p>
    <w:p>
      <w:pPr>
        <w:pStyle w:val="2"/>
        <w:spacing w:before="110" w:line="342" w:lineRule="auto"/>
        <w:ind w:left="5" w:right="1" w:firstLine="640"/>
        <w:jc w:val="both"/>
      </w:pPr>
      <w:r>
        <w:rPr>
          <w:rFonts w:ascii="黑体" w:hAnsi="黑体" w:eastAsia="黑体" w:cs="黑体"/>
          <w:spacing w:val="9"/>
        </w:rPr>
        <w:t xml:space="preserve">第五十二条  </w:t>
      </w:r>
      <w:r>
        <w:rPr>
          <w:spacing w:val="9"/>
        </w:rPr>
        <w:t>企业应当按食品安全国家标准、国务院卫生</w:t>
      </w:r>
      <w:r>
        <w:rPr>
          <w:spacing w:val="1"/>
        </w:rPr>
        <w:t xml:space="preserve"> </w:t>
      </w:r>
      <w:r>
        <w:rPr>
          <w:spacing w:val="9"/>
        </w:rPr>
        <w:t>行政部门公告公布的食品添加剂和食品营养强化剂质量规格标</w:t>
      </w:r>
      <w:r>
        <w:rPr>
          <w:spacing w:val="13"/>
        </w:rPr>
        <w:t xml:space="preserve"> </w:t>
      </w:r>
      <w:r>
        <w:rPr>
          <w:spacing w:val="9"/>
        </w:rPr>
        <w:t>准及国家相关行政主管部门的要求提供全项目检验合格报告。</w:t>
      </w:r>
    </w:p>
    <w:p>
      <w:pPr>
        <w:spacing w:line="342" w:lineRule="auto"/>
        <w:sectPr>
          <w:footerReference r:id="rId32" w:type="default"/>
          <w:pgSz w:w="12240" w:h="15840"/>
          <w:pgMar w:top="1346" w:right="1798" w:bottom="897" w:left="1806" w:header="0" w:footer="723" w:gutter="0"/>
          <w:cols w:space="720" w:num="1"/>
        </w:sectPr>
      </w:pPr>
    </w:p>
    <w:p>
      <w:pPr>
        <w:spacing w:before="295" w:line="227" w:lineRule="auto"/>
        <w:ind w:left="3447"/>
        <w:outlineLvl w:val="1"/>
        <w:rPr>
          <w:rFonts w:ascii="黑体" w:hAnsi="黑体" w:eastAsia="黑体" w:cs="黑体"/>
          <w:sz w:val="31"/>
          <w:szCs w:val="31"/>
        </w:rPr>
      </w:pPr>
      <w:r>
        <w:rPr>
          <w:rFonts w:ascii="黑体" w:hAnsi="黑体" w:eastAsia="黑体" w:cs="黑体"/>
          <w:spacing w:val="1"/>
          <w:sz w:val="31"/>
          <w:szCs w:val="31"/>
        </w:rPr>
        <w:t>第十章</w:t>
      </w:r>
      <w:r>
        <w:rPr>
          <w:rFonts w:ascii="黑体" w:hAnsi="黑体" w:eastAsia="黑体" w:cs="黑体"/>
          <w:spacing w:val="36"/>
          <w:sz w:val="31"/>
          <w:szCs w:val="31"/>
        </w:rPr>
        <w:t xml:space="preserve"> </w:t>
      </w:r>
      <w:r>
        <w:rPr>
          <w:rFonts w:ascii="黑体" w:hAnsi="黑体" w:eastAsia="黑体" w:cs="黑体"/>
          <w:spacing w:val="1"/>
          <w:sz w:val="31"/>
          <w:szCs w:val="31"/>
        </w:rPr>
        <w:t>附则</w:t>
      </w:r>
    </w:p>
    <w:p>
      <w:pPr>
        <w:spacing w:line="274" w:lineRule="auto"/>
        <w:rPr>
          <w:rFonts w:ascii="Arial"/>
          <w:sz w:val="21"/>
        </w:rPr>
      </w:pPr>
    </w:p>
    <w:p>
      <w:pPr>
        <w:pStyle w:val="2"/>
        <w:spacing w:before="101" w:line="346" w:lineRule="auto"/>
        <w:ind w:left="25" w:right="89" w:firstLine="623"/>
        <w:jc w:val="both"/>
      </w:pPr>
      <w:r>
        <w:rPr>
          <w:rFonts w:ascii="黑体" w:hAnsi="黑体" w:eastAsia="黑体" w:cs="黑体"/>
          <w:spacing w:val="9"/>
        </w:rPr>
        <w:t xml:space="preserve">第五十三条  </w:t>
      </w:r>
      <w:r>
        <w:rPr>
          <w:spacing w:val="9"/>
        </w:rPr>
        <w:t>食品添加剂的生产许可审查工作，除应当遵</w:t>
      </w:r>
      <w:r>
        <w:rPr>
          <w:spacing w:val="1"/>
        </w:rPr>
        <w:t xml:space="preserve"> </w:t>
      </w:r>
      <w:r>
        <w:rPr>
          <w:spacing w:val="9"/>
        </w:rPr>
        <w:t>守本《细则》规定外，属于危险化学品、易制毒化</w:t>
      </w:r>
      <w:r>
        <w:rPr>
          <w:spacing w:val="8"/>
        </w:rPr>
        <w:t>学品和精神</w:t>
      </w:r>
      <w:r>
        <w:t xml:space="preserve"> </w:t>
      </w:r>
      <w:r>
        <w:rPr>
          <w:spacing w:val="9"/>
        </w:rPr>
        <w:t>药品的食品添加剂，还应当遵守法律、其他行政法</w:t>
      </w:r>
      <w:r>
        <w:rPr>
          <w:spacing w:val="8"/>
        </w:rPr>
        <w:t>规对危险化</w:t>
      </w:r>
      <w:r>
        <w:t xml:space="preserve"> </w:t>
      </w:r>
      <w:r>
        <w:rPr>
          <w:spacing w:val="7"/>
        </w:rPr>
        <w:t>学品、易制毒化学品和精神药品的有关规定。</w:t>
      </w:r>
    </w:p>
    <w:p>
      <w:pPr>
        <w:pStyle w:val="2"/>
        <w:spacing w:before="56" w:line="338" w:lineRule="auto"/>
        <w:ind w:left="20" w:right="89" w:firstLine="648"/>
      </w:pPr>
      <w:r>
        <w:rPr>
          <w:spacing w:val="8"/>
        </w:rPr>
        <w:t>生产食品添加剂商品化产品的企业应当同时符合相应食品</w:t>
      </w:r>
      <w:r>
        <w:rPr>
          <w:spacing w:val="15"/>
        </w:rPr>
        <w:t xml:space="preserve"> </w:t>
      </w:r>
      <w:r>
        <w:rPr>
          <w:spacing w:val="6"/>
        </w:rPr>
        <w:t>添加剂纯品的生产条件。</w:t>
      </w:r>
    </w:p>
    <w:p>
      <w:pPr>
        <w:pStyle w:val="2"/>
        <w:spacing w:before="52" w:line="221" w:lineRule="auto"/>
        <w:jc w:val="right"/>
      </w:pPr>
      <w:r>
        <w:t>不符合相关产业政策要求的，不核发食品添加剂生产许可。</w:t>
      </w:r>
    </w:p>
    <w:p>
      <w:pPr>
        <w:pStyle w:val="2"/>
        <w:spacing w:before="219" w:line="338" w:lineRule="auto"/>
        <w:ind w:left="3" w:right="89" w:firstLine="645"/>
      </w:pPr>
      <w:r>
        <w:rPr>
          <w:rFonts w:ascii="黑体" w:hAnsi="黑体" w:eastAsia="黑体" w:cs="黑体"/>
          <w:spacing w:val="6"/>
        </w:rPr>
        <w:t xml:space="preserve">第五十四条  </w:t>
      </w:r>
      <w:r>
        <w:rPr>
          <w:spacing w:val="6"/>
        </w:rPr>
        <w:t>本《细则》</w:t>
      </w:r>
      <w:r>
        <w:rPr>
          <w:spacing w:val="-76"/>
        </w:rPr>
        <w:t xml:space="preserve"> </w:t>
      </w:r>
      <w:r>
        <w:rPr>
          <w:spacing w:val="6"/>
        </w:rPr>
        <w:t>由国家市场监督管理总局负责解</w:t>
      </w:r>
      <w:r>
        <w:t xml:space="preserve"> 释。</w:t>
      </w:r>
    </w:p>
    <w:p>
      <w:pPr>
        <w:pStyle w:val="2"/>
        <w:spacing w:before="52" w:line="347" w:lineRule="auto"/>
        <w:ind w:right="89" w:firstLine="649"/>
        <w:jc w:val="both"/>
      </w:pPr>
      <w:r>
        <w:rPr>
          <w:rFonts w:ascii="黑体" w:hAnsi="黑体" w:eastAsia="黑体" w:cs="黑体"/>
          <w:spacing w:val="6"/>
        </w:rPr>
        <w:t xml:space="preserve">第五十五条  </w:t>
      </w:r>
      <w:r>
        <w:rPr>
          <w:spacing w:val="6"/>
        </w:rPr>
        <w:t>本《细则》发布前，</w:t>
      </w:r>
      <w:r>
        <w:rPr>
          <w:spacing w:val="-76"/>
        </w:rPr>
        <w:t xml:space="preserve"> </w:t>
      </w:r>
      <w:r>
        <w:rPr>
          <w:spacing w:val="6"/>
        </w:rPr>
        <w:t>已获得食品添加剂生产</w:t>
      </w:r>
      <w:r>
        <w:t xml:space="preserve"> </w:t>
      </w:r>
      <w:r>
        <w:rPr>
          <w:spacing w:val="9"/>
        </w:rPr>
        <w:t>许可，但不符合本《细则》有关要求的，应当在</w:t>
      </w:r>
      <w:r>
        <w:rPr>
          <w:spacing w:val="-72"/>
        </w:rPr>
        <w:t xml:space="preserve"> </w:t>
      </w:r>
      <w:r>
        <w:rPr>
          <w:rFonts w:ascii="Times New Roman" w:hAnsi="Times New Roman" w:eastAsia="Times New Roman" w:cs="Times New Roman"/>
        </w:rPr>
        <w:t>xxxx</w:t>
      </w:r>
      <w:r>
        <w:rPr>
          <w:rFonts w:ascii="Times New Roman" w:hAnsi="Times New Roman" w:eastAsia="Times New Roman" w:cs="Times New Roman"/>
          <w:spacing w:val="9"/>
        </w:rPr>
        <w:t xml:space="preserve"> </w:t>
      </w:r>
      <w:r>
        <w:rPr>
          <w:spacing w:val="9"/>
        </w:rPr>
        <w:t>年</w:t>
      </w:r>
      <w:r>
        <w:rPr>
          <w:spacing w:val="-69"/>
        </w:rPr>
        <w:t xml:space="preserve"> </w:t>
      </w:r>
      <w:r>
        <w:rPr>
          <w:rFonts w:ascii="Times New Roman" w:hAnsi="Times New Roman" w:eastAsia="Times New Roman" w:cs="Times New Roman"/>
        </w:rPr>
        <w:t>xx</w:t>
      </w:r>
      <w:r>
        <w:rPr>
          <w:rFonts w:ascii="Times New Roman" w:hAnsi="Times New Roman" w:eastAsia="Times New Roman" w:cs="Times New Roman"/>
          <w:spacing w:val="34"/>
        </w:rPr>
        <w:t xml:space="preserve"> </w:t>
      </w:r>
      <w:r>
        <w:rPr>
          <w:spacing w:val="9"/>
        </w:rPr>
        <w:t>月</w:t>
      </w:r>
      <w:r>
        <w:t xml:space="preserve"> </w:t>
      </w:r>
      <w:r>
        <w:rPr>
          <w:rFonts w:ascii="Times New Roman" w:hAnsi="Times New Roman" w:eastAsia="Times New Roman" w:cs="Times New Roman"/>
        </w:rPr>
        <w:t>xx</w:t>
      </w:r>
      <w:r>
        <w:rPr>
          <w:rFonts w:ascii="Times New Roman" w:hAnsi="Times New Roman" w:eastAsia="Times New Roman" w:cs="Times New Roman"/>
          <w:spacing w:val="1"/>
        </w:rPr>
        <w:t xml:space="preserve">  </w:t>
      </w:r>
      <w:r>
        <w:rPr>
          <w:spacing w:val="4"/>
        </w:rPr>
        <w:t>日之前完成整改，经许可部门现场核查通过后，方可进行生</w:t>
      </w:r>
      <w:r>
        <w:rPr>
          <w:spacing w:val="1"/>
        </w:rPr>
        <w:t xml:space="preserve"> </w:t>
      </w:r>
      <w:r>
        <w:rPr>
          <w:spacing w:val="2"/>
        </w:rPr>
        <w:t>产。</w:t>
      </w:r>
    </w:p>
    <w:p>
      <w:pPr>
        <w:pStyle w:val="2"/>
        <w:spacing w:before="49" w:line="343" w:lineRule="auto"/>
        <w:ind w:left="3" w:right="89" w:firstLine="645"/>
        <w:jc w:val="both"/>
      </w:pPr>
      <w:r>
        <w:rPr>
          <w:rFonts w:ascii="黑体" w:hAnsi="黑体" w:eastAsia="黑体" w:cs="黑体"/>
          <w:spacing w:val="-1"/>
        </w:rPr>
        <w:t xml:space="preserve">第五十六条  </w:t>
      </w:r>
      <w:r>
        <w:rPr>
          <w:spacing w:val="-1"/>
        </w:rPr>
        <w:t>本细则自 年</w:t>
      </w:r>
      <w:r>
        <w:rPr>
          <w:spacing w:val="35"/>
        </w:rPr>
        <w:t xml:space="preserve"> </w:t>
      </w:r>
      <w:r>
        <w:rPr>
          <w:spacing w:val="-1"/>
        </w:rPr>
        <w:t>月</w:t>
      </w:r>
      <w:r>
        <w:rPr>
          <w:spacing w:val="78"/>
        </w:rPr>
        <w:t xml:space="preserve"> </w:t>
      </w:r>
      <w:r>
        <w:rPr>
          <w:spacing w:val="-1"/>
        </w:rPr>
        <w:t>日起施行。</w:t>
      </w:r>
      <w:r>
        <w:rPr>
          <w:spacing w:val="-2"/>
        </w:rPr>
        <w:t>原国家质量监督</w:t>
      </w:r>
      <w:r>
        <w:t xml:space="preserve"> </w:t>
      </w:r>
      <w:r>
        <w:rPr>
          <w:spacing w:val="-2"/>
        </w:rPr>
        <w:t>检验检疫总局制定发布的《食品添加剂生产许可审查通则（</w:t>
      </w:r>
      <w:r>
        <w:rPr>
          <w:rFonts w:ascii="Times New Roman" w:hAnsi="Times New Roman" w:eastAsia="Times New Roman" w:cs="Times New Roman"/>
          <w:spacing w:val="-2"/>
        </w:rPr>
        <w:t>2010</w:t>
      </w:r>
      <w:r>
        <w:rPr>
          <w:rFonts w:ascii="Times New Roman" w:hAnsi="Times New Roman" w:eastAsia="Times New Roman" w:cs="Times New Roman"/>
          <w:spacing w:val="10"/>
        </w:rPr>
        <w:t xml:space="preserve"> </w:t>
      </w:r>
      <w:r>
        <w:rPr>
          <w:spacing w:val="7"/>
        </w:rPr>
        <w:t>版）》同时废止。</w:t>
      </w:r>
    </w:p>
    <w:p>
      <w:pPr>
        <w:spacing w:line="299" w:lineRule="auto"/>
        <w:rPr>
          <w:rFonts w:ascii="Arial"/>
          <w:sz w:val="21"/>
        </w:rPr>
      </w:pPr>
    </w:p>
    <w:p>
      <w:pPr>
        <w:spacing w:line="299" w:lineRule="auto"/>
        <w:rPr>
          <w:rFonts w:ascii="Arial"/>
          <w:sz w:val="21"/>
        </w:rPr>
      </w:pPr>
    </w:p>
    <w:p>
      <w:pPr>
        <w:pStyle w:val="2"/>
        <w:spacing w:before="102" w:line="222" w:lineRule="auto"/>
        <w:ind w:left="672"/>
      </w:pPr>
      <w:r>
        <w:rPr>
          <w:spacing w:val="-6"/>
        </w:rPr>
        <w:t>附件：</w:t>
      </w:r>
    </w:p>
    <w:p>
      <w:pPr>
        <w:pStyle w:val="2"/>
        <w:spacing w:before="301" w:line="343" w:lineRule="auto"/>
        <w:ind w:left="643" w:right="809" w:firstLine="30"/>
      </w:pPr>
      <w:r>
        <w:rPr>
          <w:rFonts w:ascii="Times New Roman" w:hAnsi="Times New Roman" w:eastAsia="Times New Roman" w:cs="Times New Roman"/>
          <w:spacing w:val="8"/>
        </w:rPr>
        <w:t>1.</w:t>
      </w:r>
      <w:r>
        <w:rPr>
          <w:spacing w:val="8"/>
        </w:rPr>
        <w:t>单一品种食品添加剂生产许可现场核查</w:t>
      </w:r>
      <w:r>
        <w:rPr>
          <w:spacing w:val="7"/>
        </w:rPr>
        <w:t>评分记录表</w:t>
      </w:r>
      <w:r>
        <w:t xml:space="preserve"> </w:t>
      </w:r>
      <w:r>
        <w:rPr>
          <w:rFonts w:ascii="Times New Roman" w:hAnsi="Times New Roman" w:eastAsia="Times New Roman" w:cs="Times New Roman"/>
          <w:spacing w:val="9"/>
        </w:rPr>
        <w:t>2.</w:t>
      </w:r>
      <w:r>
        <w:rPr>
          <w:spacing w:val="9"/>
        </w:rPr>
        <w:t>复配食品添加剂生产许可现场核查评分记录表</w:t>
      </w:r>
    </w:p>
    <w:p>
      <w:pPr>
        <w:spacing w:line="343" w:lineRule="auto"/>
        <w:sectPr>
          <w:footerReference r:id="rId33" w:type="default"/>
          <w:pgSz w:w="12240" w:h="15840"/>
          <w:pgMar w:top="1346" w:right="1711" w:bottom="897" w:left="1804" w:header="0" w:footer="723" w:gutter="0"/>
          <w:cols w:space="720" w:num="1"/>
        </w:sectPr>
      </w:pPr>
    </w:p>
    <w:p>
      <w:pPr>
        <w:pStyle w:val="2"/>
        <w:spacing w:before="302" w:line="222" w:lineRule="auto"/>
        <w:ind w:left="617"/>
      </w:pPr>
      <w:r>
        <w:rPr>
          <w:rFonts w:ascii="Times New Roman" w:hAnsi="Times New Roman" w:eastAsia="Times New Roman" w:cs="Times New Roman"/>
          <w:spacing w:val="8"/>
        </w:rPr>
        <w:t>3.</w:t>
      </w:r>
      <w:r>
        <w:rPr>
          <w:spacing w:val="8"/>
        </w:rPr>
        <w:t>食品用香精生产许可现场核查评分记录表</w:t>
      </w:r>
    </w:p>
    <w:p>
      <w:pPr>
        <w:spacing w:line="222" w:lineRule="auto"/>
        <w:sectPr>
          <w:footerReference r:id="rId34" w:type="default"/>
          <w:pgSz w:w="12240" w:h="15840"/>
          <w:pgMar w:top="1346" w:right="1836" w:bottom="897" w:left="1836" w:header="0" w:footer="724" w:gutter="0"/>
          <w:cols w:space="720" w:num="1"/>
        </w:sectPr>
      </w:pPr>
    </w:p>
    <w:p>
      <w:pPr>
        <w:spacing w:line="351" w:lineRule="auto"/>
        <w:rPr>
          <w:rFonts w:ascii="Arial"/>
          <w:sz w:val="21"/>
        </w:rPr>
      </w:pPr>
    </w:p>
    <w:p>
      <w:pPr>
        <w:spacing w:line="351" w:lineRule="auto"/>
        <w:rPr>
          <w:rFonts w:ascii="Arial"/>
          <w:sz w:val="21"/>
        </w:rPr>
      </w:pPr>
    </w:p>
    <w:p>
      <w:pPr>
        <w:spacing w:before="101" w:line="230" w:lineRule="auto"/>
        <w:ind w:left="8"/>
        <w:outlineLvl w:val="0"/>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pPr>
        <w:spacing w:line="374" w:lineRule="auto"/>
        <w:rPr>
          <w:rFonts w:ascii="Arial"/>
          <w:sz w:val="21"/>
        </w:rPr>
      </w:pPr>
    </w:p>
    <w:p>
      <w:pPr>
        <w:spacing w:before="184" w:line="211" w:lineRule="auto"/>
        <w:ind w:left="2065"/>
        <w:rPr>
          <w:rFonts w:ascii="微软雅黑" w:hAnsi="微软雅黑" w:eastAsia="微软雅黑" w:cs="微软雅黑"/>
          <w:sz w:val="43"/>
          <w:szCs w:val="43"/>
        </w:rPr>
      </w:pPr>
      <w:r>
        <w:rPr>
          <w:rFonts w:ascii="微软雅黑" w:hAnsi="微软雅黑" w:eastAsia="微软雅黑" w:cs="微软雅黑"/>
          <w:spacing w:val="9"/>
          <w:sz w:val="43"/>
          <w:szCs w:val="43"/>
        </w:rPr>
        <w:t>单一品种食品添加剂生产许可现场核查评分记录表</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100" w:line="226" w:lineRule="auto"/>
        <w:ind w:left="2003"/>
      </w:pPr>
      <w:r>
        <w:rPr>
          <w:spacing w:val="-1"/>
        </w:rPr>
        <w:t>申请人名称：</w:t>
      </w:r>
      <w:r>
        <w:rPr>
          <w:spacing w:val="-1"/>
          <w:u w:val="single" w:color="auto"/>
        </w:rPr>
        <w:t xml:space="preserve">                                 </w:t>
      </w:r>
      <w:r>
        <w:rPr>
          <w:spacing w:val="-2"/>
          <w:u w:val="single" w:color="auto"/>
        </w:rPr>
        <w:t xml:space="preserve">                  </w:t>
      </w:r>
    </w:p>
    <w:p>
      <w:pPr>
        <w:spacing w:line="357" w:lineRule="auto"/>
        <w:rPr>
          <w:rFonts w:ascii="Arial"/>
          <w:sz w:val="21"/>
        </w:rPr>
      </w:pPr>
    </w:p>
    <w:p>
      <w:pPr>
        <w:pStyle w:val="2"/>
        <w:spacing w:before="102" w:line="341" w:lineRule="auto"/>
        <w:ind w:firstLine="1958"/>
      </w:pPr>
      <w:r>
        <w:rPr>
          <w:spacing w:val="4"/>
        </w:rPr>
        <w:t>食品、食品添加剂类别及类别名称：</w:t>
      </w:r>
      <w:r>
        <w:rPr>
          <w:spacing w:val="4"/>
          <w:u w:val="single" w:color="auto"/>
        </w:rPr>
        <w:t xml:space="preserve">  单一品种</w:t>
      </w:r>
      <w:r>
        <w:rPr>
          <w:spacing w:val="3"/>
          <w:u w:val="single" w:color="auto"/>
        </w:rPr>
        <w:t>食品添加剂</w:t>
      </w:r>
      <w:r>
        <w:rPr>
          <w:spacing w:val="-53"/>
          <w:u w:val="single" w:color="auto"/>
        </w:rPr>
        <w:t xml:space="preserve"> </w:t>
      </w:r>
      <w:r>
        <w:rPr>
          <w:spacing w:val="3"/>
          <w:u w:val="single" w:color="auto"/>
        </w:rPr>
        <w:t>（包括食品用香料、</w:t>
      </w:r>
      <w:r>
        <w:t xml:space="preserve"> </w:t>
      </w:r>
      <w:r>
        <w:rPr>
          <w:spacing w:val="8"/>
          <w:u w:val="single" w:color="auto"/>
        </w:rPr>
        <w:t>食品营养强化剂、胶基糖果中基础剂物质、酶制剂）</w:t>
      </w:r>
      <w:r>
        <w:rPr>
          <w:spacing w:val="1"/>
          <w:u w:val="single" w:color="auto"/>
        </w:rPr>
        <w:t xml:space="preserve">         </w:t>
      </w:r>
    </w:p>
    <w:p>
      <w:pPr>
        <w:pStyle w:val="2"/>
        <w:spacing w:before="294" w:line="228" w:lineRule="auto"/>
        <w:ind w:left="1977"/>
      </w:pPr>
      <w:r>
        <w:rPr>
          <w:spacing w:val="2"/>
        </w:rPr>
        <w:t>生产场所地址：</w:t>
      </w:r>
      <w:r>
        <w:rPr>
          <w:spacing w:val="2"/>
          <w:u w:val="single" w:color="auto"/>
        </w:rPr>
        <w:t xml:space="preserve">                                            </w:t>
      </w:r>
      <w:r>
        <w:rPr>
          <w:spacing w:val="1"/>
          <w:u w:val="single" w:color="auto"/>
        </w:rPr>
        <w:t xml:space="preserve">    </w:t>
      </w:r>
    </w:p>
    <w:p>
      <w:pPr>
        <w:spacing w:line="354" w:lineRule="auto"/>
        <w:rPr>
          <w:rFonts w:ascii="Arial"/>
          <w:sz w:val="21"/>
        </w:rPr>
      </w:pPr>
    </w:p>
    <w:p>
      <w:pPr>
        <w:pStyle w:val="2"/>
        <w:spacing w:before="101" w:line="228" w:lineRule="auto"/>
        <w:ind w:left="2079"/>
      </w:pPr>
      <w:r>
        <w:rPr>
          <w:spacing w:val="-3"/>
        </w:rPr>
        <w:t>核查日期：</w:t>
      </w:r>
      <w:r>
        <w:rPr>
          <w:spacing w:val="5"/>
          <w:u w:val="single" w:color="auto"/>
        </w:rPr>
        <w:t xml:space="preserve">                </w:t>
      </w:r>
      <w:r>
        <w:rPr>
          <w:spacing w:val="-121"/>
        </w:rPr>
        <w:t xml:space="preserve"> </w:t>
      </w:r>
      <w:r>
        <w:rPr>
          <w:spacing w:val="-3"/>
        </w:rPr>
        <w:t>年</w:t>
      </w:r>
      <w:r>
        <w:rPr>
          <w:spacing w:val="5"/>
          <w:u w:val="single" w:color="auto"/>
        </w:rPr>
        <w:t xml:space="preserve">                </w:t>
      </w:r>
      <w:r>
        <w:rPr>
          <w:spacing w:val="-118"/>
        </w:rPr>
        <w:t xml:space="preserve"> </w:t>
      </w:r>
      <w:r>
        <w:rPr>
          <w:spacing w:val="-3"/>
        </w:rPr>
        <w:t>月</w:t>
      </w:r>
      <w:r>
        <w:rPr>
          <w:spacing w:val="5"/>
          <w:u w:val="single" w:color="auto"/>
        </w:rPr>
        <w:t xml:space="preserve">             </w:t>
      </w:r>
      <w:r>
        <w:rPr>
          <w:spacing w:val="-66"/>
        </w:rPr>
        <w:t xml:space="preserve"> </w:t>
      </w:r>
      <w:r>
        <w:rPr>
          <w:spacing w:val="-3"/>
        </w:rPr>
        <w:t>日</w:t>
      </w:r>
    </w:p>
    <w:p>
      <w:pPr>
        <w:spacing w:line="228" w:lineRule="auto"/>
        <w:sectPr>
          <w:footerReference r:id="rId35" w:type="default"/>
          <w:pgSz w:w="15840" w:h="12240"/>
          <w:pgMar w:top="1040" w:right="1337" w:bottom="897" w:left="1461" w:header="0" w:footer="724" w:gutter="0"/>
          <w:cols w:space="720" w:num="1"/>
        </w:sectPr>
      </w:pPr>
    </w:p>
    <w:p>
      <w:pPr>
        <w:spacing w:before="39"/>
      </w:pPr>
    </w:p>
    <w:p>
      <w:pPr>
        <w:spacing w:before="39"/>
      </w:pPr>
    </w:p>
    <w:p>
      <w:pPr>
        <w:spacing w:before="38"/>
      </w:pPr>
    </w:p>
    <w:p>
      <w:pPr>
        <w:spacing w:before="38"/>
      </w:pPr>
    </w:p>
    <w:p>
      <w:pPr>
        <w:spacing w:before="38"/>
      </w:pPr>
    </w:p>
    <w:p>
      <w:pPr>
        <w:spacing w:before="38"/>
      </w:pPr>
    </w:p>
    <w:tbl>
      <w:tblPr>
        <w:tblStyle w:val="5"/>
        <w:tblW w:w="12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918"/>
        <w:gridCol w:w="5549"/>
        <w:gridCol w:w="1128"/>
        <w:gridCol w:w="3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72" w:type="dxa"/>
            <w:vMerge w:val="restart"/>
            <w:tcBorders>
              <w:bottom w:val="nil"/>
            </w:tcBorders>
            <w:textDirection w:val="tbRlV"/>
            <w:vAlign w:val="top"/>
          </w:tcPr>
          <w:p>
            <w:pPr>
              <w:spacing w:before="175" w:line="213" w:lineRule="auto"/>
              <w:ind w:left="1660"/>
              <w:rPr>
                <w:rFonts w:ascii="黑体" w:hAnsi="黑体" w:eastAsia="黑体" w:cs="黑体"/>
                <w:sz w:val="31"/>
                <w:szCs w:val="31"/>
              </w:rPr>
            </w:pPr>
            <w:r>
              <w:rPr>
                <w:rFonts w:ascii="黑体" w:hAnsi="黑体" w:eastAsia="黑体" w:cs="黑体"/>
                <w:spacing w:val="29"/>
                <w:sz w:val="31"/>
                <w:szCs w:val="31"/>
              </w:rPr>
              <w:t>核</w:t>
            </w:r>
            <w:r>
              <w:rPr>
                <w:rFonts w:ascii="黑体" w:hAnsi="黑体" w:eastAsia="黑体" w:cs="黑体"/>
                <w:spacing w:val="-81"/>
                <w:sz w:val="31"/>
                <w:szCs w:val="31"/>
              </w:rPr>
              <w:t xml:space="preserve"> </w:t>
            </w:r>
            <w:r>
              <w:rPr>
                <w:rFonts w:ascii="黑体" w:hAnsi="黑体" w:eastAsia="黑体" w:cs="黑体"/>
                <w:spacing w:val="29"/>
                <w:sz w:val="31"/>
                <w:szCs w:val="31"/>
              </w:rPr>
              <w:t>查组</w:t>
            </w:r>
            <w:r>
              <w:rPr>
                <w:rFonts w:ascii="黑体" w:hAnsi="黑体" w:eastAsia="黑体" w:cs="黑体"/>
                <w:spacing w:val="-78"/>
                <w:sz w:val="31"/>
                <w:szCs w:val="31"/>
              </w:rPr>
              <w:t xml:space="preserve"> </w:t>
            </w:r>
            <w:r>
              <w:rPr>
                <w:rFonts w:ascii="黑体" w:hAnsi="黑体" w:eastAsia="黑体" w:cs="黑体"/>
                <w:spacing w:val="29"/>
                <w:sz w:val="31"/>
                <w:szCs w:val="31"/>
              </w:rPr>
              <w:t>成</w:t>
            </w:r>
            <w:r>
              <w:rPr>
                <w:rFonts w:ascii="黑体" w:hAnsi="黑体" w:eastAsia="黑体" w:cs="黑体"/>
                <w:spacing w:val="-80"/>
                <w:sz w:val="31"/>
                <w:szCs w:val="31"/>
              </w:rPr>
              <w:t xml:space="preserve"> </w:t>
            </w:r>
            <w:r>
              <w:rPr>
                <w:rFonts w:ascii="黑体" w:hAnsi="黑体" w:eastAsia="黑体" w:cs="黑体"/>
                <w:spacing w:val="29"/>
                <w:sz w:val="31"/>
                <w:szCs w:val="31"/>
              </w:rPr>
              <w:t>员</w:t>
            </w:r>
          </w:p>
        </w:tc>
        <w:tc>
          <w:tcPr>
            <w:tcW w:w="1918" w:type="dxa"/>
            <w:vAlign w:val="top"/>
          </w:tcPr>
          <w:p>
            <w:pPr>
              <w:spacing w:before="234" w:line="222" w:lineRule="auto"/>
              <w:ind w:right="10"/>
              <w:jc w:val="right"/>
              <w:rPr>
                <w:rFonts w:ascii="黑体" w:hAnsi="黑体" w:eastAsia="黑体" w:cs="黑体"/>
                <w:sz w:val="30"/>
                <w:szCs w:val="30"/>
              </w:rPr>
            </w:pPr>
            <w:r>
              <w:rPr>
                <w:rFonts w:ascii="黑体" w:hAnsi="黑体" w:eastAsia="黑体" w:cs="黑体"/>
                <w:spacing w:val="-2"/>
                <w:sz w:val="30"/>
                <w:szCs w:val="30"/>
              </w:rPr>
              <w:t>姓名（签名）</w:t>
            </w:r>
          </w:p>
        </w:tc>
        <w:tc>
          <w:tcPr>
            <w:tcW w:w="5549" w:type="dxa"/>
            <w:vAlign w:val="top"/>
          </w:tcPr>
          <w:p>
            <w:pPr>
              <w:spacing w:before="234" w:line="222" w:lineRule="auto"/>
              <w:ind w:left="2491"/>
              <w:rPr>
                <w:rFonts w:ascii="黑体" w:hAnsi="黑体" w:eastAsia="黑体" w:cs="黑体"/>
                <w:sz w:val="30"/>
                <w:szCs w:val="30"/>
              </w:rPr>
            </w:pPr>
            <w:r>
              <w:rPr>
                <w:rFonts w:ascii="黑体" w:hAnsi="黑体" w:eastAsia="黑体" w:cs="黑体"/>
                <w:spacing w:val="-10"/>
                <w:sz w:val="30"/>
                <w:szCs w:val="30"/>
              </w:rPr>
              <w:t>单位</w:t>
            </w:r>
          </w:p>
        </w:tc>
        <w:tc>
          <w:tcPr>
            <w:tcW w:w="1128" w:type="dxa"/>
            <w:vAlign w:val="top"/>
          </w:tcPr>
          <w:p>
            <w:pPr>
              <w:spacing w:before="234" w:line="221" w:lineRule="auto"/>
              <w:ind w:left="274"/>
              <w:rPr>
                <w:rFonts w:ascii="黑体" w:hAnsi="黑体" w:eastAsia="黑体" w:cs="黑体"/>
                <w:sz w:val="30"/>
                <w:szCs w:val="30"/>
              </w:rPr>
            </w:pPr>
            <w:r>
              <w:rPr>
                <w:rFonts w:ascii="黑体" w:hAnsi="黑体" w:eastAsia="黑体" w:cs="黑体"/>
                <w:spacing w:val="-6"/>
                <w:sz w:val="30"/>
                <w:szCs w:val="30"/>
              </w:rPr>
              <w:t>职务</w:t>
            </w:r>
          </w:p>
        </w:tc>
        <w:tc>
          <w:tcPr>
            <w:tcW w:w="3121" w:type="dxa"/>
            <w:vAlign w:val="top"/>
          </w:tcPr>
          <w:p>
            <w:pPr>
              <w:spacing w:before="234" w:line="222" w:lineRule="auto"/>
              <w:ind w:left="966"/>
              <w:rPr>
                <w:rFonts w:ascii="黑体" w:hAnsi="黑体" w:eastAsia="黑体" w:cs="黑体"/>
                <w:sz w:val="30"/>
                <w:szCs w:val="30"/>
              </w:rPr>
            </w:pPr>
            <w:r>
              <w:rPr>
                <w:rFonts w:ascii="黑体" w:hAnsi="黑体" w:eastAsia="黑体" w:cs="黑体"/>
                <w:spacing w:val="-3"/>
                <w:sz w:val="30"/>
                <w:szCs w:val="30"/>
              </w:rPr>
              <w:t>核查分工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2" w:type="dxa"/>
            <w:vMerge w:val="continue"/>
            <w:tcBorders>
              <w:top w:val="nil"/>
              <w:bottom w:val="nil"/>
            </w:tcBorders>
            <w:textDirection w:val="tbRlV"/>
            <w:vAlign w:val="top"/>
          </w:tcPr>
          <w:p>
            <w:pPr>
              <w:rPr>
                <w:rFonts w:ascii="Arial"/>
                <w:sz w:val="21"/>
              </w:rPr>
            </w:pPr>
          </w:p>
        </w:tc>
        <w:tc>
          <w:tcPr>
            <w:tcW w:w="1918" w:type="dxa"/>
            <w:vAlign w:val="top"/>
          </w:tcPr>
          <w:p>
            <w:pPr>
              <w:rPr>
                <w:rFonts w:ascii="Arial"/>
                <w:sz w:val="21"/>
              </w:rPr>
            </w:pPr>
          </w:p>
        </w:tc>
        <w:tc>
          <w:tcPr>
            <w:tcW w:w="5549" w:type="dxa"/>
            <w:vAlign w:val="top"/>
          </w:tcPr>
          <w:p>
            <w:pPr>
              <w:rPr>
                <w:rFonts w:ascii="Arial"/>
                <w:sz w:val="21"/>
              </w:rPr>
            </w:pPr>
          </w:p>
        </w:tc>
        <w:tc>
          <w:tcPr>
            <w:tcW w:w="1128" w:type="dxa"/>
            <w:vAlign w:val="top"/>
          </w:tcPr>
          <w:p>
            <w:pPr>
              <w:spacing w:before="232" w:line="224" w:lineRule="auto"/>
              <w:ind w:left="273"/>
              <w:rPr>
                <w:rFonts w:ascii="黑体" w:hAnsi="黑体" w:eastAsia="黑体" w:cs="黑体"/>
                <w:sz w:val="30"/>
                <w:szCs w:val="30"/>
              </w:rPr>
            </w:pPr>
            <w:r>
              <w:rPr>
                <w:rFonts w:ascii="黑体" w:hAnsi="黑体" w:eastAsia="黑体" w:cs="黑体"/>
                <w:spacing w:val="-6"/>
                <w:sz w:val="30"/>
                <w:szCs w:val="30"/>
              </w:rPr>
              <w:t>组长</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2" w:type="dxa"/>
            <w:vMerge w:val="continue"/>
            <w:tcBorders>
              <w:top w:val="nil"/>
              <w:bottom w:val="nil"/>
            </w:tcBorders>
            <w:textDirection w:val="tbRlV"/>
            <w:vAlign w:val="top"/>
          </w:tcPr>
          <w:p>
            <w:pPr>
              <w:rPr>
                <w:rFonts w:ascii="Arial"/>
                <w:sz w:val="21"/>
              </w:rPr>
            </w:pPr>
          </w:p>
        </w:tc>
        <w:tc>
          <w:tcPr>
            <w:tcW w:w="1918" w:type="dxa"/>
            <w:vAlign w:val="top"/>
          </w:tcPr>
          <w:p>
            <w:pPr>
              <w:rPr>
                <w:rFonts w:ascii="Arial"/>
                <w:sz w:val="21"/>
              </w:rPr>
            </w:pPr>
          </w:p>
        </w:tc>
        <w:tc>
          <w:tcPr>
            <w:tcW w:w="5549" w:type="dxa"/>
            <w:vAlign w:val="top"/>
          </w:tcPr>
          <w:p>
            <w:pPr>
              <w:rPr>
                <w:rFonts w:ascii="Arial"/>
                <w:sz w:val="21"/>
              </w:rPr>
            </w:pPr>
          </w:p>
        </w:tc>
        <w:tc>
          <w:tcPr>
            <w:tcW w:w="1128" w:type="dxa"/>
            <w:vAlign w:val="top"/>
          </w:tcPr>
          <w:p>
            <w:pPr>
              <w:spacing w:before="232" w:line="221" w:lineRule="auto"/>
              <w:ind w:left="273"/>
              <w:rPr>
                <w:rFonts w:ascii="黑体" w:hAnsi="黑体" w:eastAsia="黑体" w:cs="黑体"/>
                <w:sz w:val="30"/>
                <w:szCs w:val="30"/>
              </w:rPr>
            </w:pPr>
            <w:r>
              <w:rPr>
                <w:rFonts w:ascii="黑体" w:hAnsi="黑体" w:eastAsia="黑体" w:cs="黑体"/>
                <w:spacing w:val="-6"/>
                <w:sz w:val="30"/>
                <w:szCs w:val="30"/>
              </w:rPr>
              <w:t>组员</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2" w:type="dxa"/>
            <w:vMerge w:val="continue"/>
            <w:tcBorders>
              <w:top w:val="nil"/>
              <w:bottom w:val="nil"/>
            </w:tcBorders>
            <w:textDirection w:val="tbRlV"/>
            <w:vAlign w:val="top"/>
          </w:tcPr>
          <w:p>
            <w:pPr>
              <w:rPr>
                <w:rFonts w:ascii="Arial"/>
                <w:sz w:val="21"/>
              </w:rPr>
            </w:pPr>
          </w:p>
        </w:tc>
        <w:tc>
          <w:tcPr>
            <w:tcW w:w="1918" w:type="dxa"/>
            <w:vAlign w:val="top"/>
          </w:tcPr>
          <w:p>
            <w:pPr>
              <w:rPr>
                <w:rFonts w:ascii="Arial"/>
                <w:sz w:val="21"/>
              </w:rPr>
            </w:pPr>
          </w:p>
        </w:tc>
        <w:tc>
          <w:tcPr>
            <w:tcW w:w="5549" w:type="dxa"/>
            <w:vAlign w:val="top"/>
          </w:tcPr>
          <w:p>
            <w:pPr>
              <w:rPr>
                <w:rFonts w:ascii="Arial"/>
                <w:sz w:val="21"/>
              </w:rPr>
            </w:pPr>
          </w:p>
        </w:tc>
        <w:tc>
          <w:tcPr>
            <w:tcW w:w="1128" w:type="dxa"/>
            <w:vAlign w:val="top"/>
          </w:tcPr>
          <w:p>
            <w:pPr>
              <w:spacing w:before="232" w:line="221" w:lineRule="auto"/>
              <w:ind w:left="273"/>
              <w:rPr>
                <w:rFonts w:ascii="黑体" w:hAnsi="黑体" w:eastAsia="黑体" w:cs="黑体"/>
                <w:sz w:val="30"/>
                <w:szCs w:val="30"/>
              </w:rPr>
            </w:pPr>
            <w:r>
              <w:rPr>
                <w:rFonts w:ascii="黑体" w:hAnsi="黑体" w:eastAsia="黑体" w:cs="黑体"/>
                <w:spacing w:val="-6"/>
                <w:sz w:val="30"/>
                <w:szCs w:val="30"/>
              </w:rPr>
              <w:t>组员</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2" w:type="dxa"/>
            <w:vMerge w:val="continue"/>
            <w:tcBorders>
              <w:top w:val="nil"/>
              <w:bottom w:val="nil"/>
            </w:tcBorders>
            <w:textDirection w:val="tbRlV"/>
            <w:vAlign w:val="top"/>
          </w:tcPr>
          <w:p>
            <w:pPr>
              <w:rPr>
                <w:rFonts w:ascii="Arial"/>
                <w:sz w:val="21"/>
              </w:rPr>
            </w:pPr>
          </w:p>
        </w:tc>
        <w:tc>
          <w:tcPr>
            <w:tcW w:w="1918" w:type="dxa"/>
            <w:vAlign w:val="top"/>
          </w:tcPr>
          <w:p>
            <w:pPr>
              <w:rPr>
                <w:rFonts w:ascii="Arial"/>
                <w:sz w:val="21"/>
              </w:rPr>
            </w:pPr>
          </w:p>
        </w:tc>
        <w:tc>
          <w:tcPr>
            <w:tcW w:w="5549" w:type="dxa"/>
            <w:vAlign w:val="top"/>
          </w:tcPr>
          <w:p>
            <w:pPr>
              <w:rPr>
                <w:rFonts w:ascii="Arial"/>
                <w:sz w:val="21"/>
              </w:rPr>
            </w:pPr>
          </w:p>
        </w:tc>
        <w:tc>
          <w:tcPr>
            <w:tcW w:w="1128" w:type="dxa"/>
            <w:vAlign w:val="top"/>
          </w:tcPr>
          <w:p>
            <w:pPr>
              <w:rPr>
                <w:rFonts w:ascii="Arial"/>
                <w:sz w:val="21"/>
              </w:rPr>
            </w:pP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2" w:type="dxa"/>
            <w:vMerge w:val="continue"/>
            <w:tcBorders>
              <w:top w:val="nil"/>
              <w:bottom w:val="nil"/>
            </w:tcBorders>
            <w:textDirection w:val="tbRlV"/>
            <w:vAlign w:val="top"/>
          </w:tcPr>
          <w:p>
            <w:pPr>
              <w:rPr>
                <w:rFonts w:ascii="Arial"/>
                <w:sz w:val="21"/>
              </w:rPr>
            </w:pPr>
          </w:p>
        </w:tc>
        <w:tc>
          <w:tcPr>
            <w:tcW w:w="1918" w:type="dxa"/>
            <w:vAlign w:val="top"/>
          </w:tcPr>
          <w:p>
            <w:pPr>
              <w:rPr>
                <w:rFonts w:ascii="Arial"/>
                <w:sz w:val="21"/>
              </w:rPr>
            </w:pPr>
          </w:p>
        </w:tc>
        <w:tc>
          <w:tcPr>
            <w:tcW w:w="5549" w:type="dxa"/>
            <w:vAlign w:val="top"/>
          </w:tcPr>
          <w:p>
            <w:pPr>
              <w:rPr>
                <w:rFonts w:ascii="Arial"/>
                <w:sz w:val="21"/>
              </w:rPr>
            </w:pPr>
          </w:p>
        </w:tc>
        <w:tc>
          <w:tcPr>
            <w:tcW w:w="1128" w:type="dxa"/>
            <w:vAlign w:val="top"/>
          </w:tcPr>
          <w:p>
            <w:pPr>
              <w:rPr>
                <w:rFonts w:ascii="Arial"/>
                <w:sz w:val="21"/>
              </w:rPr>
            </w:pP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72" w:type="dxa"/>
            <w:vMerge w:val="continue"/>
            <w:tcBorders>
              <w:top w:val="nil"/>
            </w:tcBorders>
            <w:textDirection w:val="tbRlV"/>
            <w:vAlign w:val="top"/>
          </w:tcPr>
          <w:p>
            <w:pPr>
              <w:rPr>
                <w:rFonts w:ascii="Arial"/>
                <w:sz w:val="21"/>
              </w:rPr>
            </w:pPr>
          </w:p>
        </w:tc>
        <w:tc>
          <w:tcPr>
            <w:tcW w:w="1918" w:type="dxa"/>
            <w:vAlign w:val="top"/>
          </w:tcPr>
          <w:p>
            <w:pPr>
              <w:rPr>
                <w:rFonts w:ascii="Arial"/>
                <w:sz w:val="21"/>
              </w:rPr>
            </w:pPr>
          </w:p>
        </w:tc>
        <w:tc>
          <w:tcPr>
            <w:tcW w:w="5549" w:type="dxa"/>
            <w:vAlign w:val="top"/>
          </w:tcPr>
          <w:p>
            <w:pPr>
              <w:rPr>
                <w:rFonts w:ascii="Arial"/>
                <w:sz w:val="21"/>
              </w:rPr>
            </w:pPr>
          </w:p>
        </w:tc>
        <w:tc>
          <w:tcPr>
            <w:tcW w:w="1128" w:type="dxa"/>
            <w:vAlign w:val="top"/>
          </w:tcPr>
          <w:p>
            <w:pPr>
              <w:rPr>
                <w:rFonts w:ascii="Arial"/>
                <w:sz w:val="21"/>
              </w:rPr>
            </w:pPr>
          </w:p>
        </w:tc>
        <w:tc>
          <w:tcPr>
            <w:tcW w:w="31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6" w:type="default"/>
          <w:pgSz w:w="15840" w:h="12240"/>
          <w:pgMar w:top="1040" w:right="1723" w:bottom="897" w:left="1723" w:header="0" w:footer="724"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40" w:line="222" w:lineRule="auto"/>
        <w:ind w:left="6040"/>
        <w:rPr>
          <w:rFonts w:ascii="宋体" w:hAnsi="宋体" w:eastAsia="宋体" w:cs="宋体"/>
          <w:sz w:val="43"/>
          <w:szCs w:val="43"/>
        </w:rPr>
      </w:pPr>
      <w:r>
        <w:rPr>
          <w:rFonts w:ascii="宋体" w:hAnsi="宋体" w:eastAsia="宋体" w:cs="宋体"/>
          <w:b/>
          <w:bCs/>
          <w:spacing w:val="3"/>
          <w:sz w:val="43"/>
          <w:szCs w:val="43"/>
        </w:rPr>
        <w:t>使用说明</w:t>
      </w:r>
    </w:p>
    <w:p>
      <w:pPr>
        <w:spacing w:line="245" w:lineRule="auto"/>
        <w:rPr>
          <w:rFonts w:ascii="Arial"/>
          <w:sz w:val="21"/>
        </w:rPr>
      </w:pPr>
    </w:p>
    <w:p>
      <w:pPr>
        <w:spacing w:line="246" w:lineRule="auto"/>
        <w:rPr>
          <w:rFonts w:ascii="Arial"/>
          <w:sz w:val="21"/>
        </w:rPr>
      </w:pPr>
    </w:p>
    <w:p>
      <w:pPr>
        <w:pStyle w:val="2"/>
        <w:spacing w:before="65" w:line="321" w:lineRule="auto"/>
        <w:ind w:right="45" w:firstLine="436"/>
        <w:rPr>
          <w:sz w:val="20"/>
          <w:szCs w:val="20"/>
        </w:rPr>
      </w:pPr>
      <w:r>
        <w:rPr>
          <w:rFonts w:ascii="Times New Roman" w:hAnsi="Times New Roman" w:eastAsia="Times New Roman" w:cs="Times New Roman"/>
          <w:spacing w:val="11"/>
          <w:sz w:val="20"/>
          <w:szCs w:val="20"/>
        </w:rPr>
        <w:t xml:space="preserve">1.  </w:t>
      </w:r>
      <w:r>
        <w:rPr>
          <w:spacing w:val="11"/>
          <w:sz w:val="20"/>
          <w:szCs w:val="20"/>
        </w:rPr>
        <w:t>本记录表依据《中华人民共和国食品安全法》及其实施条例、《食品生产许可管理办法》等</w:t>
      </w:r>
      <w:r>
        <w:rPr>
          <w:spacing w:val="10"/>
          <w:sz w:val="20"/>
          <w:szCs w:val="20"/>
        </w:rPr>
        <w:t>法律法规、规章以及《食品生产许可审查</w:t>
      </w:r>
      <w:r>
        <w:rPr>
          <w:sz w:val="20"/>
          <w:szCs w:val="20"/>
        </w:rPr>
        <w:t xml:space="preserve"> </w:t>
      </w:r>
      <w:r>
        <w:rPr>
          <w:spacing w:val="10"/>
          <w:sz w:val="20"/>
          <w:szCs w:val="20"/>
        </w:rPr>
        <w:t>通则》《食品添加剂生产许可审查细则》和相关食品安全国家标准的要求制定，替</w:t>
      </w:r>
      <w:r>
        <w:rPr>
          <w:spacing w:val="9"/>
          <w:sz w:val="20"/>
          <w:szCs w:val="20"/>
        </w:rPr>
        <w:t>代《食品生产许可审查通则》附件</w:t>
      </w:r>
      <w:r>
        <w:rPr>
          <w:spacing w:val="-43"/>
          <w:sz w:val="20"/>
          <w:szCs w:val="20"/>
        </w:rPr>
        <w:t xml:space="preserve"> </w:t>
      </w:r>
      <w:r>
        <w:rPr>
          <w:rFonts w:ascii="Times New Roman" w:hAnsi="Times New Roman" w:eastAsia="Times New Roman" w:cs="Times New Roman"/>
          <w:spacing w:val="9"/>
          <w:sz w:val="20"/>
          <w:szCs w:val="20"/>
        </w:rPr>
        <w:t>2</w:t>
      </w:r>
      <w:r>
        <w:rPr>
          <w:spacing w:val="9"/>
          <w:sz w:val="20"/>
          <w:szCs w:val="20"/>
        </w:rPr>
        <w:t>《食品、食品添加剂生</w:t>
      </w:r>
      <w:r>
        <w:rPr>
          <w:sz w:val="20"/>
          <w:szCs w:val="20"/>
        </w:rPr>
        <w:t xml:space="preserve"> </w:t>
      </w:r>
      <w:r>
        <w:rPr>
          <w:spacing w:val="9"/>
          <w:sz w:val="20"/>
          <w:szCs w:val="20"/>
        </w:rPr>
        <w:t>产许可现场核查评分记录表》，用于食品添加剂生产许可现场核查评分。</w:t>
      </w:r>
    </w:p>
    <w:p>
      <w:pPr>
        <w:pStyle w:val="2"/>
        <w:spacing w:before="156" w:line="224" w:lineRule="auto"/>
        <w:ind w:left="417"/>
        <w:rPr>
          <w:sz w:val="20"/>
          <w:szCs w:val="20"/>
        </w:rPr>
      </w:pPr>
      <w:r>
        <w:rPr>
          <w:rFonts w:ascii="Times New Roman" w:hAnsi="Times New Roman" w:eastAsia="Times New Roman" w:cs="Times New Roman"/>
          <w:spacing w:val="7"/>
          <w:sz w:val="20"/>
          <w:szCs w:val="20"/>
        </w:rPr>
        <w:t xml:space="preserve">2.  </w:t>
      </w:r>
      <w:r>
        <w:rPr>
          <w:spacing w:val="7"/>
          <w:sz w:val="20"/>
          <w:szCs w:val="20"/>
        </w:rPr>
        <w:t>本记录表应当结合《食品添加剂生产许可审查细则》（</w:t>
      </w:r>
      <w:r>
        <w:rPr>
          <w:spacing w:val="-19"/>
          <w:sz w:val="20"/>
          <w:szCs w:val="20"/>
        </w:rPr>
        <w:t xml:space="preserve"> </w:t>
      </w:r>
      <w:r>
        <w:rPr>
          <w:spacing w:val="7"/>
          <w:sz w:val="20"/>
          <w:szCs w:val="20"/>
        </w:rPr>
        <w:t>以下简称《细则》）要求使用。</w:t>
      </w:r>
    </w:p>
    <w:p>
      <w:pPr>
        <w:pStyle w:val="2"/>
        <w:spacing w:before="157" w:line="296" w:lineRule="auto"/>
        <w:ind w:right="35" w:firstLine="421"/>
        <w:rPr>
          <w:sz w:val="20"/>
          <w:szCs w:val="20"/>
        </w:rPr>
      </w:pPr>
      <w:r>
        <w:rPr>
          <w:rFonts w:ascii="Times New Roman" w:hAnsi="Times New Roman" w:eastAsia="Times New Roman" w:cs="Times New Roman"/>
          <w:spacing w:val="6"/>
          <w:sz w:val="20"/>
          <w:szCs w:val="20"/>
        </w:rPr>
        <w:t xml:space="preserve">3.  </w:t>
      </w:r>
      <w:r>
        <w:rPr>
          <w:spacing w:val="6"/>
          <w:sz w:val="20"/>
          <w:szCs w:val="20"/>
        </w:rPr>
        <w:t>本记录表包括生产场所（</w:t>
      </w:r>
      <w:r>
        <w:rPr>
          <w:rFonts w:ascii="Times New Roman" w:hAnsi="Times New Roman" w:eastAsia="Times New Roman" w:cs="Times New Roman"/>
          <w:spacing w:val="6"/>
          <w:sz w:val="20"/>
          <w:szCs w:val="20"/>
        </w:rPr>
        <w:t xml:space="preserve">7 </w:t>
      </w:r>
      <w:r>
        <w:rPr>
          <w:spacing w:val="6"/>
          <w:sz w:val="20"/>
          <w:szCs w:val="20"/>
        </w:rPr>
        <w:t>项</w:t>
      </w:r>
      <w:r>
        <w:rPr>
          <w:spacing w:val="-30"/>
          <w:sz w:val="20"/>
          <w:szCs w:val="20"/>
        </w:rPr>
        <w:t xml:space="preserve"> </w:t>
      </w:r>
      <w:r>
        <w:rPr>
          <w:rFonts w:ascii="Times New Roman" w:hAnsi="Times New Roman" w:eastAsia="Times New Roman" w:cs="Times New Roman"/>
          <w:spacing w:val="6"/>
          <w:sz w:val="20"/>
          <w:szCs w:val="20"/>
        </w:rPr>
        <w:t>21</w:t>
      </w:r>
      <w:r>
        <w:rPr>
          <w:rFonts w:ascii="Times New Roman" w:hAnsi="Times New Roman" w:eastAsia="Times New Roman" w:cs="Times New Roman"/>
          <w:spacing w:val="16"/>
          <w:w w:val="101"/>
          <w:sz w:val="20"/>
          <w:szCs w:val="20"/>
        </w:rPr>
        <w:t xml:space="preserve"> </w:t>
      </w:r>
      <w:r>
        <w:rPr>
          <w:spacing w:val="6"/>
          <w:sz w:val="20"/>
          <w:szCs w:val="20"/>
        </w:rPr>
        <w:t>分）、设备设施（</w:t>
      </w:r>
      <w:r>
        <w:rPr>
          <w:spacing w:val="-47"/>
          <w:sz w:val="20"/>
          <w:szCs w:val="20"/>
        </w:rPr>
        <w:t xml:space="preserve"> </w:t>
      </w:r>
      <w:r>
        <w:rPr>
          <w:rFonts w:ascii="Times New Roman" w:hAnsi="Times New Roman" w:eastAsia="Times New Roman" w:cs="Times New Roman"/>
          <w:spacing w:val="6"/>
          <w:sz w:val="20"/>
          <w:szCs w:val="20"/>
        </w:rPr>
        <w:t xml:space="preserve">12 </w:t>
      </w:r>
      <w:r>
        <w:rPr>
          <w:spacing w:val="6"/>
          <w:sz w:val="20"/>
          <w:szCs w:val="20"/>
        </w:rPr>
        <w:t>项</w:t>
      </w:r>
      <w:r>
        <w:rPr>
          <w:spacing w:val="-36"/>
          <w:sz w:val="20"/>
          <w:szCs w:val="20"/>
        </w:rPr>
        <w:t xml:space="preserve"> </w:t>
      </w:r>
      <w:r>
        <w:rPr>
          <w:rFonts w:ascii="Times New Roman" w:hAnsi="Times New Roman" w:eastAsia="Times New Roman" w:cs="Times New Roman"/>
          <w:spacing w:val="6"/>
          <w:sz w:val="20"/>
          <w:szCs w:val="20"/>
        </w:rPr>
        <w:t xml:space="preserve">36 </w:t>
      </w:r>
      <w:r>
        <w:rPr>
          <w:spacing w:val="6"/>
          <w:sz w:val="20"/>
          <w:szCs w:val="20"/>
        </w:rPr>
        <w:t>分）、设备布局和工艺流程（</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4"/>
          <w:w w:val="101"/>
          <w:sz w:val="20"/>
          <w:szCs w:val="20"/>
        </w:rPr>
        <w:t xml:space="preserve"> </w:t>
      </w:r>
      <w:r>
        <w:rPr>
          <w:spacing w:val="6"/>
          <w:sz w:val="20"/>
          <w:szCs w:val="20"/>
        </w:rPr>
        <w:t>项</w:t>
      </w:r>
      <w:r>
        <w:rPr>
          <w:spacing w:val="-39"/>
          <w:sz w:val="20"/>
          <w:szCs w:val="20"/>
        </w:rPr>
        <w:t xml:space="preserve"> </w:t>
      </w:r>
      <w:r>
        <w:rPr>
          <w:rFonts w:ascii="Times New Roman" w:hAnsi="Times New Roman" w:eastAsia="Times New Roman" w:cs="Times New Roman"/>
          <w:spacing w:val="6"/>
          <w:sz w:val="20"/>
          <w:szCs w:val="20"/>
        </w:rPr>
        <w:t>9</w:t>
      </w:r>
      <w:r>
        <w:rPr>
          <w:rFonts w:ascii="Times New Roman" w:hAnsi="Times New Roman" w:eastAsia="Times New Roman" w:cs="Times New Roman"/>
          <w:spacing w:val="13"/>
          <w:w w:val="101"/>
          <w:sz w:val="20"/>
          <w:szCs w:val="20"/>
        </w:rPr>
        <w:t xml:space="preserve"> </w:t>
      </w:r>
      <w:r>
        <w:rPr>
          <w:spacing w:val="6"/>
          <w:sz w:val="20"/>
          <w:szCs w:val="20"/>
        </w:rPr>
        <w:t>分）、人员管理（</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2"/>
          <w:w w:val="101"/>
          <w:sz w:val="20"/>
          <w:szCs w:val="20"/>
        </w:rPr>
        <w:t xml:space="preserve"> </w:t>
      </w:r>
      <w:r>
        <w:rPr>
          <w:spacing w:val="6"/>
          <w:sz w:val="20"/>
          <w:szCs w:val="20"/>
        </w:rPr>
        <w:t>项</w:t>
      </w:r>
      <w:r>
        <w:rPr>
          <w:spacing w:val="-37"/>
          <w:sz w:val="20"/>
          <w:szCs w:val="20"/>
        </w:rPr>
        <w:t xml:space="preserve"> </w:t>
      </w:r>
      <w:r>
        <w:rPr>
          <w:rFonts w:ascii="Times New Roman" w:hAnsi="Times New Roman" w:eastAsia="Times New Roman" w:cs="Times New Roman"/>
          <w:spacing w:val="6"/>
          <w:sz w:val="20"/>
          <w:szCs w:val="20"/>
        </w:rPr>
        <w:t>9</w:t>
      </w:r>
      <w:r>
        <w:rPr>
          <w:rFonts w:ascii="Times New Roman" w:hAnsi="Times New Roman" w:eastAsia="Times New Roman" w:cs="Times New Roman"/>
          <w:spacing w:val="14"/>
          <w:sz w:val="20"/>
          <w:szCs w:val="20"/>
        </w:rPr>
        <w:t xml:space="preserve"> </w:t>
      </w:r>
      <w:r>
        <w:rPr>
          <w:spacing w:val="6"/>
          <w:sz w:val="20"/>
          <w:szCs w:val="20"/>
        </w:rPr>
        <w:t>分）、管理制</w:t>
      </w:r>
      <w:r>
        <w:rPr>
          <w:sz w:val="20"/>
          <w:szCs w:val="20"/>
        </w:rPr>
        <w:t xml:space="preserve"> </w:t>
      </w:r>
      <w:r>
        <w:rPr>
          <w:spacing w:val="3"/>
          <w:sz w:val="20"/>
          <w:szCs w:val="20"/>
        </w:rPr>
        <w:t>度（</w:t>
      </w:r>
      <w:r>
        <w:rPr>
          <w:spacing w:val="-44"/>
          <w:sz w:val="20"/>
          <w:szCs w:val="20"/>
        </w:rPr>
        <w:t xml:space="preserve"> </w:t>
      </w:r>
      <w:r>
        <w:rPr>
          <w:rFonts w:ascii="Times New Roman" w:hAnsi="Times New Roman" w:eastAsia="Times New Roman" w:cs="Times New Roman"/>
          <w:spacing w:val="3"/>
          <w:sz w:val="20"/>
          <w:szCs w:val="20"/>
        </w:rPr>
        <w:t>17</w:t>
      </w:r>
      <w:r>
        <w:rPr>
          <w:rFonts w:ascii="Times New Roman" w:hAnsi="Times New Roman" w:eastAsia="Times New Roman" w:cs="Times New Roman"/>
          <w:spacing w:val="14"/>
          <w:w w:val="101"/>
          <w:sz w:val="20"/>
          <w:szCs w:val="20"/>
        </w:rPr>
        <w:t xml:space="preserve"> </w:t>
      </w:r>
      <w:r>
        <w:rPr>
          <w:spacing w:val="3"/>
          <w:sz w:val="20"/>
          <w:szCs w:val="20"/>
        </w:rPr>
        <w:t>项，</w:t>
      </w:r>
      <w:r>
        <w:rPr>
          <w:rFonts w:ascii="Times New Roman" w:hAnsi="Times New Roman" w:eastAsia="Times New Roman" w:cs="Times New Roman"/>
          <w:spacing w:val="3"/>
          <w:sz w:val="20"/>
          <w:szCs w:val="20"/>
        </w:rPr>
        <w:t>51</w:t>
      </w:r>
      <w:r>
        <w:rPr>
          <w:rFonts w:ascii="Times New Roman" w:hAnsi="Times New Roman" w:eastAsia="Times New Roman" w:cs="Times New Roman"/>
          <w:spacing w:val="16"/>
          <w:w w:val="101"/>
          <w:sz w:val="20"/>
          <w:szCs w:val="20"/>
        </w:rPr>
        <w:t xml:space="preserve"> </w:t>
      </w:r>
      <w:r>
        <w:rPr>
          <w:spacing w:val="3"/>
          <w:sz w:val="20"/>
          <w:szCs w:val="20"/>
        </w:rPr>
        <w:t>分）</w:t>
      </w:r>
      <w:r>
        <w:rPr>
          <w:spacing w:val="-53"/>
          <w:sz w:val="20"/>
          <w:szCs w:val="20"/>
        </w:rPr>
        <w:t xml:space="preserve"> </w:t>
      </w:r>
      <w:r>
        <w:rPr>
          <w:spacing w:val="3"/>
          <w:sz w:val="20"/>
          <w:szCs w:val="20"/>
        </w:rPr>
        <w:t>以及试制产品检验合格报告（</w:t>
      </w:r>
      <w:r>
        <w:rPr>
          <w:spacing w:val="-46"/>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3"/>
          <w:w w:val="101"/>
          <w:sz w:val="20"/>
          <w:szCs w:val="20"/>
        </w:rPr>
        <w:t xml:space="preserve"> </w:t>
      </w:r>
      <w:r>
        <w:rPr>
          <w:spacing w:val="3"/>
          <w:sz w:val="20"/>
          <w:szCs w:val="20"/>
        </w:rPr>
        <w:t>分）六</w:t>
      </w:r>
      <w:r>
        <w:rPr>
          <w:spacing w:val="2"/>
          <w:sz w:val="20"/>
          <w:szCs w:val="20"/>
        </w:rPr>
        <w:t>部分，共</w:t>
      </w:r>
      <w:r>
        <w:rPr>
          <w:spacing w:val="-44"/>
          <w:sz w:val="20"/>
          <w:szCs w:val="20"/>
        </w:rPr>
        <w:t xml:space="preserve"> </w:t>
      </w:r>
      <w:r>
        <w:rPr>
          <w:rFonts w:ascii="Times New Roman" w:hAnsi="Times New Roman" w:eastAsia="Times New Roman" w:cs="Times New Roman"/>
          <w:spacing w:val="2"/>
          <w:sz w:val="20"/>
          <w:szCs w:val="20"/>
        </w:rPr>
        <w:t>43</w:t>
      </w:r>
      <w:r>
        <w:rPr>
          <w:rFonts w:ascii="Times New Roman" w:hAnsi="Times New Roman" w:eastAsia="Times New Roman" w:cs="Times New Roman"/>
          <w:spacing w:val="14"/>
          <w:sz w:val="20"/>
          <w:szCs w:val="20"/>
        </w:rPr>
        <w:t xml:space="preserve"> </w:t>
      </w:r>
      <w:r>
        <w:rPr>
          <w:spacing w:val="2"/>
          <w:sz w:val="20"/>
          <w:szCs w:val="20"/>
        </w:rPr>
        <w:t>个核查项目</w:t>
      </w:r>
      <w:r>
        <w:rPr>
          <w:spacing w:val="-21"/>
          <w:sz w:val="20"/>
          <w:szCs w:val="20"/>
        </w:rPr>
        <w:t xml:space="preserve"> </w:t>
      </w:r>
      <w:r>
        <w:rPr>
          <w:rFonts w:ascii="Times New Roman" w:hAnsi="Times New Roman" w:eastAsia="Times New Roman" w:cs="Times New Roman"/>
          <w:spacing w:val="2"/>
          <w:sz w:val="20"/>
          <w:szCs w:val="20"/>
        </w:rPr>
        <w:t>127</w:t>
      </w:r>
      <w:r>
        <w:rPr>
          <w:rFonts w:ascii="Times New Roman" w:hAnsi="Times New Roman" w:eastAsia="Times New Roman" w:cs="Times New Roman"/>
          <w:spacing w:val="14"/>
          <w:sz w:val="20"/>
          <w:szCs w:val="20"/>
        </w:rPr>
        <w:t xml:space="preserve"> </w:t>
      </w:r>
      <w:r>
        <w:rPr>
          <w:spacing w:val="2"/>
          <w:sz w:val="20"/>
          <w:szCs w:val="20"/>
        </w:rPr>
        <w:t>分。</w:t>
      </w:r>
    </w:p>
    <w:p>
      <w:pPr>
        <w:pStyle w:val="2"/>
        <w:spacing w:before="158" w:line="223" w:lineRule="auto"/>
        <w:ind w:left="416"/>
        <w:rPr>
          <w:sz w:val="20"/>
          <w:szCs w:val="20"/>
        </w:rPr>
      </w:pPr>
      <w:r>
        <w:rPr>
          <w:rFonts w:ascii="Times New Roman" w:hAnsi="Times New Roman" w:eastAsia="Times New Roman" w:cs="Times New Roman"/>
          <w:spacing w:val="9"/>
          <w:sz w:val="20"/>
          <w:szCs w:val="20"/>
        </w:rPr>
        <w:t xml:space="preserve">4.  </w:t>
      </w:r>
      <w:r>
        <w:rPr>
          <w:spacing w:val="9"/>
          <w:sz w:val="20"/>
          <w:szCs w:val="20"/>
        </w:rPr>
        <w:t>核查组应当按照核查项目规定的核查内容及评分标准核查评分，并将发现的问题详实地记录在</w:t>
      </w:r>
      <w:r>
        <w:rPr>
          <w:rFonts w:ascii="Times New Roman" w:hAnsi="Times New Roman" w:eastAsia="Times New Roman" w:cs="Times New Roman"/>
          <w:spacing w:val="9"/>
          <w:sz w:val="20"/>
          <w:szCs w:val="20"/>
        </w:rPr>
        <w:t>“</w:t>
      </w:r>
      <w:r>
        <w:rPr>
          <w:spacing w:val="9"/>
          <w:sz w:val="20"/>
          <w:szCs w:val="20"/>
        </w:rPr>
        <w:t>核查记录</w:t>
      </w:r>
      <w:r>
        <w:rPr>
          <w:rFonts w:ascii="Times New Roman" w:hAnsi="Times New Roman" w:eastAsia="Times New Roman" w:cs="Times New Roman"/>
          <w:spacing w:val="9"/>
          <w:sz w:val="20"/>
          <w:szCs w:val="20"/>
        </w:rPr>
        <w:t>”</w:t>
      </w:r>
      <w:r>
        <w:rPr>
          <w:spacing w:val="9"/>
          <w:sz w:val="20"/>
          <w:szCs w:val="20"/>
        </w:rPr>
        <w:t>栏目中。</w:t>
      </w:r>
    </w:p>
    <w:p>
      <w:pPr>
        <w:pStyle w:val="2"/>
        <w:spacing w:before="161" w:line="333" w:lineRule="auto"/>
        <w:ind w:firstLine="422"/>
        <w:rPr>
          <w:sz w:val="20"/>
          <w:szCs w:val="20"/>
        </w:rPr>
      </w:pPr>
      <w:r>
        <w:rPr>
          <w:rFonts w:ascii="Times New Roman" w:hAnsi="Times New Roman" w:eastAsia="Times New Roman" w:cs="Times New Roman"/>
          <w:spacing w:val="9"/>
          <w:sz w:val="20"/>
          <w:szCs w:val="20"/>
        </w:rPr>
        <w:t xml:space="preserve">5.  </w:t>
      </w:r>
      <w:r>
        <w:rPr>
          <w:spacing w:val="9"/>
          <w:sz w:val="20"/>
          <w:szCs w:val="20"/>
        </w:rPr>
        <w:t>现场核查评分原则：现场核查评分标准分为符合要求、基本符合要求、</w:t>
      </w:r>
      <w:r>
        <w:rPr>
          <w:spacing w:val="8"/>
          <w:sz w:val="20"/>
          <w:szCs w:val="20"/>
        </w:rPr>
        <w:t>不符合要求。符合要求，是指现场核查情况全部符合</w:t>
      </w:r>
      <w:r>
        <w:rPr>
          <w:rFonts w:ascii="Times New Roman" w:hAnsi="Times New Roman" w:eastAsia="Times New Roman" w:cs="Times New Roman"/>
          <w:spacing w:val="8"/>
          <w:sz w:val="20"/>
          <w:szCs w:val="20"/>
        </w:rPr>
        <w:t>“</w:t>
      </w:r>
      <w:r>
        <w:rPr>
          <w:spacing w:val="8"/>
          <w:sz w:val="20"/>
          <w:szCs w:val="20"/>
        </w:rPr>
        <w:t>核查内容</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spacing w:val="9"/>
          <w:sz w:val="20"/>
          <w:szCs w:val="20"/>
        </w:rPr>
        <w:t>要求，得</w:t>
      </w:r>
      <w:r>
        <w:rPr>
          <w:spacing w:val="-39"/>
          <w:sz w:val="20"/>
          <w:szCs w:val="20"/>
        </w:rPr>
        <w:t xml:space="preserve"> </w:t>
      </w:r>
      <w:r>
        <w:rPr>
          <w:rFonts w:ascii="Times New Roman" w:hAnsi="Times New Roman" w:eastAsia="Times New Roman" w:cs="Times New Roman"/>
          <w:spacing w:val="9"/>
          <w:sz w:val="20"/>
          <w:szCs w:val="20"/>
        </w:rPr>
        <w:t xml:space="preserve">3 </w:t>
      </w:r>
      <w:r>
        <w:rPr>
          <w:spacing w:val="9"/>
          <w:sz w:val="20"/>
          <w:szCs w:val="20"/>
        </w:rPr>
        <w:t>分；基本符合要求，是指现场核查发现的问题属于个别、轻微或偶然</w:t>
      </w:r>
      <w:r>
        <w:rPr>
          <w:spacing w:val="8"/>
          <w:sz w:val="20"/>
          <w:szCs w:val="20"/>
        </w:rPr>
        <w:t>发生，不会对食品安全产生严重影响，可在规定时间内通过整</w:t>
      </w:r>
      <w:r>
        <w:rPr>
          <w:sz w:val="20"/>
          <w:szCs w:val="20"/>
        </w:rPr>
        <w:t xml:space="preserve"> </w:t>
      </w:r>
      <w:r>
        <w:rPr>
          <w:spacing w:val="8"/>
          <w:sz w:val="20"/>
          <w:szCs w:val="20"/>
        </w:rPr>
        <w:t>改达到食品安全要求的，得</w:t>
      </w:r>
      <w:r>
        <w:rPr>
          <w:spacing w:val="-5"/>
          <w:sz w:val="20"/>
          <w:szCs w:val="20"/>
        </w:rPr>
        <w:t xml:space="preserve"> </w:t>
      </w:r>
      <w:r>
        <w:rPr>
          <w:rFonts w:ascii="Times New Roman" w:hAnsi="Times New Roman" w:eastAsia="Times New Roman" w:cs="Times New Roman"/>
          <w:spacing w:val="8"/>
          <w:sz w:val="20"/>
          <w:szCs w:val="20"/>
        </w:rPr>
        <w:t xml:space="preserve">1 </w:t>
      </w:r>
      <w:r>
        <w:rPr>
          <w:spacing w:val="8"/>
          <w:sz w:val="20"/>
          <w:szCs w:val="20"/>
        </w:rPr>
        <w:t>分；不符合要求，是指现场核查发现的问题属于申请人内部普遍、严重、系统性或区域性缺陷，可能影响食品安</w:t>
      </w:r>
      <w:r>
        <w:rPr>
          <w:sz w:val="20"/>
          <w:szCs w:val="20"/>
        </w:rPr>
        <w:t xml:space="preserve"> </w:t>
      </w:r>
      <w:r>
        <w:rPr>
          <w:spacing w:val="4"/>
          <w:sz w:val="20"/>
          <w:szCs w:val="20"/>
        </w:rPr>
        <w:t>全的，得</w:t>
      </w:r>
      <w:r>
        <w:rPr>
          <w:spacing w:val="-33"/>
          <w:sz w:val="20"/>
          <w:szCs w:val="20"/>
        </w:rPr>
        <w:t xml:space="preserve"> </w:t>
      </w:r>
      <w:r>
        <w:rPr>
          <w:rFonts w:ascii="Times New Roman" w:hAnsi="Times New Roman" w:eastAsia="Times New Roman" w:cs="Times New Roman"/>
          <w:spacing w:val="4"/>
          <w:sz w:val="20"/>
          <w:szCs w:val="20"/>
        </w:rPr>
        <w:t xml:space="preserve">0 </w:t>
      </w:r>
      <w:r>
        <w:rPr>
          <w:spacing w:val="4"/>
          <w:sz w:val="20"/>
          <w:szCs w:val="20"/>
        </w:rPr>
        <w:t>分。</w:t>
      </w:r>
    </w:p>
    <w:p>
      <w:pPr>
        <w:pStyle w:val="2"/>
        <w:spacing w:before="154" w:line="223" w:lineRule="auto"/>
        <w:ind w:left="419"/>
        <w:rPr>
          <w:sz w:val="20"/>
          <w:szCs w:val="20"/>
        </w:rPr>
      </w:pPr>
      <w:r>
        <w:rPr>
          <w:spacing w:val="6"/>
          <w:sz w:val="20"/>
          <w:szCs w:val="20"/>
        </w:rPr>
        <w:t>试制产品检验报告核查判定得分为</w:t>
      </w:r>
      <w:r>
        <w:rPr>
          <w:spacing w:val="-10"/>
          <w:sz w:val="20"/>
          <w:szCs w:val="20"/>
        </w:rPr>
        <w:t xml:space="preserve"> </w:t>
      </w:r>
      <w:r>
        <w:rPr>
          <w:rFonts w:ascii="Times New Roman" w:hAnsi="Times New Roman" w:eastAsia="Times New Roman" w:cs="Times New Roman"/>
          <w:spacing w:val="6"/>
          <w:sz w:val="20"/>
          <w:szCs w:val="20"/>
        </w:rPr>
        <w:t xml:space="preserve">1 </w:t>
      </w:r>
      <w:r>
        <w:rPr>
          <w:spacing w:val="6"/>
          <w:sz w:val="20"/>
          <w:szCs w:val="20"/>
        </w:rPr>
        <w:t>分、</w:t>
      </w:r>
      <w:r>
        <w:rPr>
          <w:rFonts w:ascii="Times New Roman" w:hAnsi="Times New Roman" w:eastAsia="Times New Roman" w:cs="Times New Roman"/>
          <w:spacing w:val="6"/>
          <w:sz w:val="20"/>
          <w:szCs w:val="20"/>
        </w:rPr>
        <w:t xml:space="preserve">0.5 </w:t>
      </w:r>
      <w:r>
        <w:rPr>
          <w:spacing w:val="6"/>
          <w:sz w:val="20"/>
          <w:szCs w:val="20"/>
        </w:rPr>
        <w:t>分和</w:t>
      </w:r>
      <w:r>
        <w:rPr>
          <w:spacing w:val="-37"/>
          <w:sz w:val="20"/>
          <w:szCs w:val="20"/>
        </w:rPr>
        <w:t xml:space="preserve"> </w:t>
      </w:r>
      <w:r>
        <w:rPr>
          <w:rFonts w:ascii="Times New Roman" w:hAnsi="Times New Roman" w:eastAsia="Times New Roman" w:cs="Times New Roman"/>
          <w:spacing w:val="6"/>
          <w:sz w:val="20"/>
          <w:szCs w:val="20"/>
        </w:rPr>
        <w:t xml:space="preserve">0 </w:t>
      </w:r>
      <w:r>
        <w:rPr>
          <w:spacing w:val="6"/>
          <w:sz w:val="20"/>
          <w:szCs w:val="20"/>
        </w:rPr>
        <w:t>分。</w:t>
      </w:r>
    </w:p>
    <w:p>
      <w:pPr>
        <w:pStyle w:val="2"/>
        <w:spacing w:before="159" w:line="297" w:lineRule="auto"/>
        <w:ind w:left="446" w:right="1583" w:hanging="25"/>
        <w:rPr>
          <w:sz w:val="20"/>
          <w:szCs w:val="20"/>
        </w:rPr>
      </w:pPr>
      <w:r>
        <w:rPr>
          <w:rFonts w:ascii="Times New Roman" w:hAnsi="Times New Roman" w:eastAsia="Times New Roman" w:cs="Times New Roman"/>
          <w:spacing w:val="8"/>
          <w:sz w:val="20"/>
          <w:szCs w:val="20"/>
        </w:rPr>
        <w:t xml:space="preserve">6.  </w:t>
      </w:r>
      <w:r>
        <w:rPr>
          <w:spacing w:val="8"/>
          <w:sz w:val="20"/>
          <w:szCs w:val="20"/>
        </w:rPr>
        <w:t>现场核查结论判定原则：核查项目单项得分无</w:t>
      </w:r>
      <w:r>
        <w:rPr>
          <w:spacing w:val="-37"/>
          <w:sz w:val="20"/>
          <w:szCs w:val="20"/>
        </w:rPr>
        <w:t xml:space="preserve"> </w:t>
      </w:r>
      <w:r>
        <w:rPr>
          <w:rFonts w:ascii="Times New Roman" w:hAnsi="Times New Roman" w:eastAsia="Times New Roman" w:cs="Times New Roman"/>
          <w:spacing w:val="8"/>
          <w:sz w:val="20"/>
          <w:szCs w:val="20"/>
        </w:rPr>
        <w:t xml:space="preserve">0 </w:t>
      </w:r>
      <w:r>
        <w:rPr>
          <w:spacing w:val="8"/>
          <w:sz w:val="20"/>
          <w:szCs w:val="20"/>
        </w:rPr>
        <w:t>分且总得分率</w:t>
      </w:r>
      <w:r>
        <w:rPr>
          <w:rFonts w:ascii="Times New Roman" w:hAnsi="Times New Roman" w:eastAsia="Times New Roman" w:cs="Times New Roman"/>
          <w:spacing w:val="8"/>
          <w:sz w:val="20"/>
          <w:szCs w:val="20"/>
        </w:rPr>
        <w:t>≥85%</w:t>
      </w:r>
      <w:r>
        <w:rPr>
          <w:spacing w:val="8"/>
          <w:sz w:val="20"/>
          <w:szCs w:val="20"/>
        </w:rPr>
        <w:t>的，该类别名称及品种明</w:t>
      </w:r>
      <w:r>
        <w:rPr>
          <w:spacing w:val="7"/>
          <w:sz w:val="20"/>
          <w:szCs w:val="20"/>
        </w:rPr>
        <w:t>细判定为通过现场核查。</w:t>
      </w:r>
      <w:r>
        <w:rPr>
          <w:sz w:val="20"/>
          <w:szCs w:val="20"/>
        </w:rPr>
        <w:t xml:space="preserve"> </w:t>
      </w:r>
      <w:r>
        <w:rPr>
          <w:spacing w:val="9"/>
          <w:sz w:val="20"/>
          <w:szCs w:val="20"/>
        </w:rPr>
        <w:t>当出现以下两种情况之一时，该类别名称及品种</w:t>
      </w:r>
      <w:r>
        <w:rPr>
          <w:spacing w:val="8"/>
          <w:sz w:val="20"/>
          <w:szCs w:val="20"/>
        </w:rPr>
        <w:t>明细判定为未通过现场核查：</w:t>
      </w:r>
    </w:p>
    <w:p>
      <w:pPr>
        <w:pStyle w:val="2"/>
        <w:spacing w:before="156" w:line="225" w:lineRule="auto"/>
        <w:ind w:left="417"/>
        <w:rPr>
          <w:sz w:val="20"/>
          <w:szCs w:val="20"/>
        </w:rPr>
      </w:pPr>
      <w:r>
        <w:rPr>
          <w:spacing w:val="2"/>
          <w:sz w:val="20"/>
          <w:szCs w:val="20"/>
        </w:rPr>
        <w:t>（</w:t>
      </w:r>
      <w:r>
        <w:rPr>
          <w:spacing w:val="-34"/>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21"/>
          <w:sz w:val="20"/>
          <w:szCs w:val="20"/>
        </w:rPr>
        <w:t xml:space="preserve"> </w:t>
      </w:r>
      <w:r>
        <w:rPr>
          <w:spacing w:val="2"/>
          <w:sz w:val="20"/>
          <w:szCs w:val="20"/>
        </w:rPr>
        <w:t>）有一项及以上核查项目得</w:t>
      </w:r>
      <w:r>
        <w:rPr>
          <w:spacing w:val="-37"/>
          <w:sz w:val="20"/>
          <w:szCs w:val="20"/>
        </w:rPr>
        <w:t xml:space="preserve"> </w:t>
      </w:r>
      <w:r>
        <w:rPr>
          <w:rFonts w:ascii="Times New Roman" w:hAnsi="Times New Roman" w:eastAsia="Times New Roman" w:cs="Times New Roman"/>
          <w:spacing w:val="2"/>
          <w:sz w:val="20"/>
          <w:szCs w:val="20"/>
        </w:rPr>
        <w:t>0</w:t>
      </w:r>
      <w:r>
        <w:rPr>
          <w:rFonts w:ascii="Times New Roman" w:hAnsi="Times New Roman" w:eastAsia="Times New Roman" w:cs="Times New Roman"/>
          <w:spacing w:val="13"/>
          <w:w w:val="101"/>
          <w:sz w:val="20"/>
          <w:szCs w:val="20"/>
        </w:rPr>
        <w:t xml:space="preserve"> </w:t>
      </w:r>
      <w:r>
        <w:rPr>
          <w:spacing w:val="2"/>
          <w:sz w:val="20"/>
          <w:szCs w:val="20"/>
        </w:rPr>
        <w:t>分的；</w:t>
      </w:r>
    </w:p>
    <w:p>
      <w:pPr>
        <w:pStyle w:val="2"/>
        <w:spacing w:before="157" w:line="225" w:lineRule="auto"/>
        <w:ind w:left="417"/>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）核查项目总得分率＜</w:t>
      </w:r>
      <w:r>
        <w:rPr>
          <w:rFonts w:ascii="Times New Roman" w:hAnsi="Times New Roman" w:eastAsia="Times New Roman" w:cs="Times New Roman"/>
          <w:spacing w:val="8"/>
          <w:sz w:val="20"/>
          <w:szCs w:val="20"/>
        </w:rPr>
        <w:t>85%</w:t>
      </w:r>
      <w:r>
        <w:rPr>
          <w:spacing w:val="8"/>
          <w:sz w:val="20"/>
          <w:szCs w:val="20"/>
        </w:rPr>
        <w:t>的。</w:t>
      </w:r>
    </w:p>
    <w:p>
      <w:pPr>
        <w:pStyle w:val="2"/>
        <w:spacing w:before="156" w:line="223" w:lineRule="auto"/>
        <w:ind w:left="420"/>
        <w:rPr>
          <w:sz w:val="20"/>
          <w:szCs w:val="20"/>
        </w:rPr>
      </w:pPr>
      <w:r>
        <w:rPr>
          <w:rFonts w:ascii="Times New Roman" w:hAnsi="Times New Roman" w:eastAsia="Times New Roman" w:cs="Times New Roman"/>
          <w:spacing w:val="9"/>
          <w:sz w:val="20"/>
          <w:szCs w:val="20"/>
        </w:rPr>
        <w:t xml:space="preserve">7.  </w:t>
      </w:r>
      <w:r>
        <w:rPr>
          <w:spacing w:val="9"/>
          <w:sz w:val="20"/>
          <w:szCs w:val="20"/>
        </w:rPr>
        <w:t>某个核查项目不适用时，不参与评分，并</w:t>
      </w:r>
      <w:r>
        <w:rPr>
          <w:spacing w:val="8"/>
          <w:sz w:val="20"/>
          <w:szCs w:val="20"/>
        </w:rPr>
        <w:t>在</w:t>
      </w:r>
      <w:r>
        <w:rPr>
          <w:rFonts w:ascii="Times New Roman" w:hAnsi="Times New Roman" w:eastAsia="Times New Roman" w:cs="Times New Roman"/>
          <w:spacing w:val="8"/>
          <w:sz w:val="20"/>
          <w:szCs w:val="20"/>
        </w:rPr>
        <w:t>“</w:t>
      </w:r>
      <w:r>
        <w:rPr>
          <w:spacing w:val="8"/>
          <w:sz w:val="20"/>
          <w:szCs w:val="20"/>
        </w:rPr>
        <w:t>核查记录</w:t>
      </w:r>
      <w:r>
        <w:rPr>
          <w:rFonts w:ascii="Times New Roman" w:hAnsi="Times New Roman" w:eastAsia="Times New Roman" w:cs="Times New Roman"/>
          <w:spacing w:val="8"/>
          <w:sz w:val="20"/>
          <w:szCs w:val="20"/>
        </w:rPr>
        <w:t>”</w:t>
      </w:r>
      <w:r>
        <w:rPr>
          <w:spacing w:val="8"/>
          <w:sz w:val="20"/>
          <w:szCs w:val="20"/>
        </w:rPr>
        <w:t>栏目中说明不适用的原因。</w:t>
      </w:r>
    </w:p>
    <w:p>
      <w:pPr>
        <w:spacing w:line="223" w:lineRule="auto"/>
        <w:rPr>
          <w:sz w:val="20"/>
          <w:szCs w:val="20"/>
        </w:rPr>
        <w:sectPr>
          <w:footerReference r:id="rId37" w:type="default"/>
          <w:pgSz w:w="15840" w:h="12240"/>
          <w:pgMar w:top="1040" w:right="1394" w:bottom="897" w:left="1447" w:header="0" w:footer="724" w:gutter="0"/>
          <w:cols w:space="720" w:num="1"/>
        </w:sect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101" w:line="228" w:lineRule="auto"/>
        <w:ind w:left="5091"/>
        <w:outlineLvl w:val="0"/>
        <w:rPr>
          <w:rFonts w:ascii="黑体" w:hAnsi="黑体" w:eastAsia="黑体" w:cs="黑体"/>
          <w:sz w:val="31"/>
          <w:szCs w:val="31"/>
        </w:rPr>
      </w:pPr>
      <w:r>
        <w:rPr>
          <w:rFonts w:ascii="黑体" w:hAnsi="黑体" w:eastAsia="黑体" w:cs="黑体"/>
          <w:spacing w:val="4"/>
          <w:sz w:val="31"/>
          <w:szCs w:val="31"/>
        </w:rPr>
        <w:t>一、生产场所（共</w:t>
      </w:r>
      <w:r>
        <w:rPr>
          <w:rFonts w:ascii="黑体" w:hAnsi="黑体" w:eastAsia="黑体" w:cs="黑体"/>
          <w:spacing w:val="-65"/>
          <w:sz w:val="31"/>
          <w:szCs w:val="31"/>
        </w:rPr>
        <w:t xml:space="preserve"> </w:t>
      </w:r>
      <w:r>
        <w:rPr>
          <w:rFonts w:ascii="Times New Roman" w:hAnsi="Times New Roman" w:eastAsia="Times New Roman" w:cs="Times New Roman"/>
          <w:spacing w:val="4"/>
          <w:sz w:val="31"/>
          <w:szCs w:val="31"/>
        </w:rPr>
        <w:t>21</w:t>
      </w:r>
      <w:r>
        <w:rPr>
          <w:rFonts w:ascii="Times New Roman" w:hAnsi="Times New Roman" w:eastAsia="Times New Roman" w:cs="Times New Roman"/>
          <w:spacing w:val="23"/>
          <w:sz w:val="31"/>
          <w:szCs w:val="31"/>
        </w:rPr>
        <w:t xml:space="preserve"> </w:t>
      </w:r>
      <w:r>
        <w:rPr>
          <w:rFonts w:ascii="黑体" w:hAnsi="黑体" w:eastAsia="黑体" w:cs="黑体"/>
          <w:spacing w:val="4"/>
          <w:sz w:val="31"/>
          <w:szCs w:val="31"/>
        </w:rPr>
        <w:t>分）</w:t>
      </w:r>
    </w:p>
    <w:p>
      <w:pPr>
        <w:spacing w:line="90" w:lineRule="exact"/>
      </w:pPr>
    </w:p>
    <w:tbl>
      <w:tblPr>
        <w:tblStyle w:val="5"/>
        <w:tblW w:w="13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763"/>
        <w:gridCol w:w="4363"/>
        <w:gridCol w:w="4513"/>
        <w:gridCol w:w="450"/>
        <w:gridCol w:w="1139"/>
        <w:gridCol w:w="1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58" w:type="dxa"/>
            <w:textDirection w:val="tbRlV"/>
            <w:vAlign w:val="top"/>
          </w:tcPr>
          <w:p>
            <w:pPr>
              <w:spacing w:before="174" w:line="216" w:lineRule="auto"/>
              <w:ind w:left="36"/>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63" w:type="dxa"/>
            <w:vAlign w:val="top"/>
          </w:tcPr>
          <w:p>
            <w:pPr>
              <w:spacing w:before="37" w:line="234" w:lineRule="auto"/>
              <w:ind w:left="174" w:right="17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3" w:type="dxa"/>
            <w:vAlign w:val="top"/>
          </w:tcPr>
          <w:p>
            <w:pPr>
              <w:spacing w:before="170" w:line="231" w:lineRule="auto"/>
              <w:ind w:left="1762"/>
              <w:rPr>
                <w:rFonts w:ascii="黑体" w:hAnsi="黑体" w:eastAsia="黑体" w:cs="黑体"/>
                <w:sz w:val="20"/>
                <w:szCs w:val="20"/>
              </w:rPr>
            </w:pPr>
            <w:r>
              <w:rPr>
                <w:rFonts w:ascii="黑体" w:hAnsi="黑体" w:eastAsia="黑体" w:cs="黑体"/>
                <w:spacing w:val="7"/>
                <w:sz w:val="20"/>
                <w:szCs w:val="20"/>
              </w:rPr>
              <w:t>核查内容</w:t>
            </w:r>
          </w:p>
        </w:tc>
        <w:tc>
          <w:tcPr>
            <w:tcW w:w="4963" w:type="dxa"/>
            <w:gridSpan w:val="2"/>
            <w:vAlign w:val="top"/>
          </w:tcPr>
          <w:p>
            <w:pPr>
              <w:spacing w:before="170" w:line="230" w:lineRule="auto"/>
              <w:ind w:left="2065"/>
              <w:rPr>
                <w:rFonts w:ascii="黑体" w:hAnsi="黑体" w:eastAsia="黑体" w:cs="黑体"/>
                <w:sz w:val="20"/>
                <w:szCs w:val="20"/>
              </w:rPr>
            </w:pPr>
            <w:r>
              <w:rPr>
                <w:rFonts w:ascii="黑体" w:hAnsi="黑体" w:eastAsia="黑体" w:cs="黑体"/>
                <w:spacing w:val="7"/>
                <w:sz w:val="20"/>
                <w:szCs w:val="20"/>
              </w:rPr>
              <w:t>评分标准</w:t>
            </w:r>
          </w:p>
        </w:tc>
        <w:tc>
          <w:tcPr>
            <w:tcW w:w="1139" w:type="dxa"/>
            <w:vAlign w:val="top"/>
          </w:tcPr>
          <w:p>
            <w:pPr>
              <w:spacing w:before="170" w:line="231" w:lineRule="auto"/>
              <w:ind w:left="154"/>
              <w:rPr>
                <w:rFonts w:ascii="黑体" w:hAnsi="黑体" w:eastAsia="黑体" w:cs="黑体"/>
                <w:sz w:val="20"/>
                <w:szCs w:val="20"/>
              </w:rPr>
            </w:pPr>
            <w:r>
              <w:rPr>
                <w:rFonts w:ascii="黑体" w:hAnsi="黑体" w:eastAsia="黑体" w:cs="黑体"/>
                <w:spacing w:val="7"/>
                <w:sz w:val="20"/>
                <w:szCs w:val="20"/>
              </w:rPr>
              <w:t>核查得分</w:t>
            </w:r>
          </w:p>
        </w:tc>
        <w:tc>
          <w:tcPr>
            <w:tcW w:w="1394" w:type="dxa"/>
            <w:vAlign w:val="top"/>
          </w:tcPr>
          <w:p>
            <w:pPr>
              <w:spacing w:before="170" w:line="230" w:lineRule="auto"/>
              <w:ind w:left="280"/>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7" w:line="195" w:lineRule="auto"/>
              <w:ind w:left="16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p>
        </w:tc>
        <w:tc>
          <w:tcPr>
            <w:tcW w:w="76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38" w:lineRule="auto"/>
              <w:ind w:left="180" w:right="173"/>
            </w:pPr>
            <w:r>
              <w:rPr>
                <w:spacing w:val="2"/>
              </w:rPr>
              <w:t>厂区</w:t>
            </w:r>
            <w:r>
              <w:t xml:space="preserve"> </w:t>
            </w:r>
            <w:r>
              <w:rPr>
                <w:spacing w:val="1"/>
              </w:rPr>
              <w:t>要求</w:t>
            </w:r>
          </w:p>
        </w:tc>
        <w:tc>
          <w:tcPr>
            <w:tcW w:w="4363" w:type="dxa"/>
            <w:vMerge w:val="restart"/>
            <w:tcBorders>
              <w:bottom w:val="nil"/>
            </w:tcBorders>
            <w:vAlign w:val="top"/>
          </w:tcPr>
          <w:p>
            <w:pPr>
              <w:spacing w:line="244" w:lineRule="auto"/>
              <w:rPr>
                <w:rFonts w:ascii="Arial"/>
                <w:sz w:val="21"/>
              </w:rPr>
            </w:pPr>
          </w:p>
          <w:p>
            <w:pPr>
              <w:pStyle w:val="6"/>
              <w:spacing w:before="65" w:line="248" w:lineRule="auto"/>
              <w:ind w:left="109" w:right="106" w:firstLine="17"/>
              <w:jc w:val="both"/>
            </w:pPr>
            <w:r>
              <w:rPr>
                <w:rFonts w:ascii="Times New Roman" w:hAnsi="Times New Roman" w:eastAsia="Times New Roman" w:cs="Times New Roman"/>
                <w:spacing w:val="8"/>
              </w:rPr>
              <w:t>1.</w:t>
            </w:r>
            <w:r>
              <w:rPr>
                <w:spacing w:val="8"/>
              </w:rPr>
              <w:t>厂区不应选择对食品添加剂有显著污染的区</w:t>
            </w:r>
            <w:r>
              <w:rPr>
                <w:spacing w:val="3"/>
              </w:rPr>
              <w:t xml:space="preserve"> </w:t>
            </w:r>
            <w:r>
              <w:rPr>
                <w:spacing w:val="7"/>
              </w:rPr>
              <w:t>域。厂区周围无虫害大量孳生的潜在场所，无</w:t>
            </w:r>
            <w:r>
              <w:rPr>
                <w:spacing w:val="1"/>
              </w:rPr>
              <w:t xml:space="preserve"> </w:t>
            </w:r>
            <w:r>
              <w:rPr>
                <w:spacing w:val="7"/>
              </w:rPr>
              <w:t>有害废弃物以及粉尘、有害气体、放射性物质</w:t>
            </w:r>
            <w:r>
              <w:rPr>
                <w:spacing w:val="1"/>
              </w:rPr>
              <w:t xml:space="preserve"> </w:t>
            </w:r>
            <w:r>
              <w:rPr>
                <w:spacing w:val="7"/>
              </w:rPr>
              <w:t>和其他扩散性污染源。各类污染源难以避开时</w:t>
            </w:r>
            <w:r>
              <w:t xml:space="preserve"> </w:t>
            </w:r>
            <w:r>
              <w:rPr>
                <w:spacing w:val="7"/>
              </w:rPr>
              <w:t>应当有必要的防范措施，能有效清除污染源造</w:t>
            </w:r>
            <w:r>
              <w:rPr>
                <w:spacing w:val="1"/>
              </w:rPr>
              <w:t xml:space="preserve"> </w:t>
            </w:r>
            <w:r>
              <w:rPr>
                <w:spacing w:val="7"/>
              </w:rPr>
              <w:t>成的影响。现场提供的《食品添加剂生产加工</w:t>
            </w:r>
            <w:r>
              <w:rPr>
                <w:spacing w:val="1"/>
              </w:rPr>
              <w:t xml:space="preserve"> </w:t>
            </w:r>
            <w:r>
              <w:rPr>
                <w:spacing w:val="8"/>
              </w:rPr>
              <w:t>场所周围环境平面图》与实际一致。</w:t>
            </w:r>
          </w:p>
        </w:tc>
        <w:tc>
          <w:tcPr>
            <w:tcW w:w="4513" w:type="dxa"/>
            <w:vAlign w:val="top"/>
          </w:tcPr>
          <w:p>
            <w:pPr>
              <w:pStyle w:val="6"/>
              <w:spacing w:before="33" w:line="216" w:lineRule="auto"/>
              <w:ind w:left="118"/>
            </w:pPr>
            <w:r>
              <w:rPr>
                <w:spacing w:val="6"/>
              </w:rPr>
              <w:t>符合规定要求。</w:t>
            </w:r>
          </w:p>
        </w:tc>
        <w:tc>
          <w:tcPr>
            <w:tcW w:w="450" w:type="dxa"/>
            <w:vAlign w:val="top"/>
          </w:tcPr>
          <w:p>
            <w:pPr>
              <w:spacing w:before="67"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13" w:type="dxa"/>
            <w:vAlign w:val="top"/>
          </w:tcPr>
          <w:p>
            <w:pPr>
              <w:pStyle w:val="6"/>
              <w:spacing w:before="34" w:line="242" w:lineRule="auto"/>
              <w:ind w:left="126" w:right="107" w:firstLine="2"/>
              <w:jc w:val="both"/>
            </w:pPr>
            <w:r>
              <w:rPr>
                <w:rFonts w:ascii="Times New Roman" w:hAnsi="Times New Roman" w:eastAsia="Times New Roman" w:cs="Times New Roman"/>
                <w:spacing w:val="5"/>
              </w:rPr>
              <w:t>1.</w:t>
            </w:r>
            <w:r>
              <w:rPr>
                <w:spacing w:val="5"/>
              </w:rPr>
              <w:t>对厂区周边的污染源有相应的识别、防范或清</w:t>
            </w:r>
            <w:r>
              <w:rPr>
                <w:spacing w:val="10"/>
              </w:rPr>
              <w:t xml:space="preserve"> </w:t>
            </w:r>
            <w:r>
              <w:rPr>
                <w:spacing w:val="8"/>
              </w:rPr>
              <w:t>除措施，但个别措施效果不明显，可通过改善</w:t>
            </w:r>
            <w:r>
              <w:rPr>
                <w:spacing w:val="7"/>
              </w:rPr>
              <w:t xml:space="preserve">  防范措施有效清除污染源造成的影响。</w:t>
            </w:r>
          </w:p>
          <w:p>
            <w:pPr>
              <w:pStyle w:val="6"/>
              <w:spacing w:before="29" w:line="215" w:lineRule="auto"/>
              <w:ind w:left="108"/>
            </w:pPr>
            <w:r>
              <w:rPr>
                <w:rFonts w:ascii="Times New Roman" w:hAnsi="Times New Roman" w:eastAsia="Times New Roman" w:cs="Times New Roman"/>
                <w:spacing w:val="8"/>
              </w:rPr>
              <w:t>2.</w:t>
            </w:r>
            <w:r>
              <w:rPr>
                <w:spacing w:val="8"/>
              </w:rPr>
              <w:t>现场提供的平面图与实际不一致。</w:t>
            </w:r>
          </w:p>
        </w:tc>
        <w:tc>
          <w:tcPr>
            <w:tcW w:w="450" w:type="dxa"/>
            <w:vAlign w:val="top"/>
          </w:tcPr>
          <w:p>
            <w:pPr>
              <w:spacing w:line="416" w:lineRule="auto"/>
              <w:rPr>
                <w:rFonts w:ascii="Arial"/>
                <w:sz w:val="21"/>
              </w:rPr>
            </w:pPr>
          </w:p>
          <w:p>
            <w:pPr>
              <w:spacing w:before="58"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4" w:line="238" w:lineRule="auto"/>
              <w:ind w:left="122" w:right="104" w:firstLine="6"/>
            </w:pPr>
            <w:r>
              <w:rPr>
                <w:rFonts w:ascii="Times New Roman" w:hAnsi="Times New Roman" w:eastAsia="Times New Roman" w:cs="Times New Roman"/>
                <w:spacing w:val="5"/>
              </w:rPr>
              <w:t>1.</w:t>
            </w:r>
            <w:r>
              <w:rPr>
                <w:spacing w:val="5"/>
              </w:rPr>
              <w:t>未对厂区周边的污染源进行识别、防范或采取</w:t>
            </w:r>
            <w:r>
              <w:rPr>
                <w:spacing w:val="13"/>
              </w:rPr>
              <w:t xml:space="preserve"> </w:t>
            </w:r>
            <w:r>
              <w:rPr>
                <w:spacing w:val="3"/>
              </w:rPr>
              <w:t>清除措施。</w:t>
            </w:r>
          </w:p>
          <w:p>
            <w:pPr>
              <w:pStyle w:val="6"/>
              <w:spacing w:before="26" w:line="234" w:lineRule="auto"/>
              <w:ind w:left="118" w:right="107" w:hanging="10"/>
            </w:pPr>
            <w:r>
              <w:rPr>
                <w:rFonts w:ascii="Times New Roman" w:hAnsi="Times New Roman" w:eastAsia="Times New Roman" w:cs="Times New Roman"/>
                <w:spacing w:val="5"/>
              </w:rPr>
              <w:t>2.</w:t>
            </w:r>
            <w:r>
              <w:rPr>
                <w:rFonts w:ascii="Times New Roman" w:hAnsi="Times New Roman" w:eastAsia="Times New Roman" w:cs="Times New Roman"/>
                <w:spacing w:val="-20"/>
              </w:rPr>
              <w:t xml:space="preserve"> </w:t>
            </w:r>
            <w:r>
              <w:rPr>
                <w:spacing w:val="5"/>
              </w:rPr>
              <w:t>虽然识别了厂区周边的污染源，但采取的污染</w:t>
            </w:r>
            <w:r>
              <w:t xml:space="preserve"> </w:t>
            </w:r>
            <w:r>
              <w:rPr>
                <w:spacing w:val="7"/>
              </w:rPr>
              <w:t>源防范或清除措施无效果。</w:t>
            </w:r>
          </w:p>
        </w:tc>
        <w:tc>
          <w:tcPr>
            <w:tcW w:w="450" w:type="dxa"/>
            <w:vAlign w:val="top"/>
          </w:tcPr>
          <w:p>
            <w:pPr>
              <w:spacing w:line="418" w:lineRule="auto"/>
              <w:rPr>
                <w:rFonts w:ascii="Arial"/>
                <w:sz w:val="21"/>
              </w:rPr>
            </w:pPr>
          </w:p>
          <w:p>
            <w:pPr>
              <w:spacing w:before="57"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restart"/>
            <w:tcBorders>
              <w:bottom w:val="nil"/>
            </w:tcBorders>
            <w:vAlign w:val="top"/>
          </w:tcPr>
          <w:p>
            <w:pPr>
              <w:spacing w:line="258" w:lineRule="auto"/>
              <w:rPr>
                <w:rFonts w:ascii="Arial"/>
                <w:sz w:val="21"/>
              </w:rPr>
            </w:pPr>
          </w:p>
          <w:p>
            <w:pPr>
              <w:spacing w:line="258" w:lineRule="auto"/>
              <w:rPr>
                <w:rFonts w:ascii="Arial"/>
                <w:sz w:val="21"/>
              </w:rPr>
            </w:pPr>
          </w:p>
          <w:p>
            <w:pPr>
              <w:pStyle w:val="6"/>
              <w:spacing w:before="65" w:line="248" w:lineRule="auto"/>
              <w:ind w:left="109" w:right="106" w:hanging="3"/>
              <w:jc w:val="both"/>
            </w:pPr>
            <w:r>
              <w:rPr>
                <w:rFonts w:ascii="Times New Roman" w:hAnsi="Times New Roman" w:eastAsia="Times New Roman" w:cs="Times New Roman"/>
                <w:spacing w:val="9"/>
              </w:rPr>
              <w:t>2.</w:t>
            </w:r>
            <w:r>
              <w:rPr>
                <w:spacing w:val="9"/>
              </w:rPr>
              <w:t>厂区环境整洁，无扬尘或积水现象。各功能</w:t>
            </w:r>
            <w:r>
              <w:rPr>
                <w:spacing w:val="2"/>
              </w:rPr>
              <w:t xml:space="preserve"> </w:t>
            </w:r>
            <w:r>
              <w:rPr>
                <w:spacing w:val="7"/>
              </w:rPr>
              <w:t>区划分明显，布局合理。现场提供的《食品添</w:t>
            </w:r>
            <w:r>
              <w:t xml:space="preserve"> </w:t>
            </w:r>
            <w:r>
              <w:rPr>
                <w:spacing w:val="6"/>
              </w:rPr>
              <w:t>加剂生产加工场所平面图》与实际一致。生活</w:t>
            </w:r>
            <w:r>
              <w:rPr>
                <w:spacing w:val="18"/>
              </w:rPr>
              <w:t xml:space="preserve"> </w:t>
            </w:r>
            <w:r>
              <w:rPr>
                <w:spacing w:val="7"/>
              </w:rPr>
              <w:t>区与生产区保持适当距离或分隔，防止交叉污</w:t>
            </w:r>
            <w:r>
              <w:t xml:space="preserve"> </w:t>
            </w:r>
            <w:r>
              <w:rPr>
                <w:spacing w:val="7"/>
              </w:rPr>
              <w:t>染。厂区道路应当采用硬质材料铺设。厂区绿</w:t>
            </w:r>
            <w:r>
              <w:t xml:space="preserve"> </w:t>
            </w:r>
            <w:r>
              <w:rPr>
                <w:spacing w:val="7"/>
              </w:rPr>
              <w:t>化应当与生产车间保持适当距离，植被应当定</w:t>
            </w:r>
            <w:r>
              <w:t xml:space="preserve"> </w:t>
            </w:r>
            <w:r>
              <w:rPr>
                <w:spacing w:val="8"/>
              </w:rPr>
              <w:t>期维护，防止虫害孳生。</w:t>
            </w:r>
          </w:p>
        </w:tc>
        <w:tc>
          <w:tcPr>
            <w:tcW w:w="4513" w:type="dxa"/>
            <w:vAlign w:val="top"/>
          </w:tcPr>
          <w:p>
            <w:pPr>
              <w:pStyle w:val="6"/>
              <w:spacing w:before="35" w:line="214" w:lineRule="auto"/>
              <w:ind w:left="118"/>
            </w:pPr>
            <w:r>
              <w:rPr>
                <w:spacing w:val="6"/>
              </w:rPr>
              <w:t>符合规定要求。</w:t>
            </w:r>
          </w:p>
        </w:tc>
        <w:tc>
          <w:tcPr>
            <w:tcW w:w="450" w:type="dxa"/>
            <w:vAlign w:val="top"/>
          </w:tcPr>
          <w:p>
            <w:pPr>
              <w:spacing w:before="70"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13" w:type="dxa"/>
            <w:vAlign w:val="top"/>
          </w:tcPr>
          <w:p>
            <w:pPr>
              <w:pStyle w:val="6"/>
              <w:spacing w:before="34" w:line="243" w:lineRule="auto"/>
              <w:ind w:left="119" w:right="107" w:firstLine="9"/>
              <w:jc w:val="both"/>
            </w:pPr>
            <w:r>
              <w:rPr>
                <w:rFonts w:ascii="Times New Roman" w:hAnsi="Times New Roman" w:eastAsia="Times New Roman" w:cs="Times New Roman"/>
                <w:spacing w:val="5"/>
              </w:rPr>
              <w:t>1.</w:t>
            </w:r>
            <w:r>
              <w:rPr>
                <w:spacing w:val="5"/>
              </w:rPr>
              <w:t>厂区环境、布局、功能区划分、绿化带位置及</w:t>
            </w:r>
            <w:r>
              <w:rPr>
                <w:spacing w:val="10"/>
              </w:rPr>
              <w:t xml:space="preserve"> </w:t>
            </w:r>
            <w:r>
              <w:rPr>
                <w:spacing w:val="9"/>
              </w:rPr>
              <w:t>维护等略有不足，检查时未发现明显的污染现</w:t>
            </w:r>
            <w:r>
              <w:rPr>
                <w:spacing w:val="1"/>
              </w:rPr>
              <w:t xml:space="preserve">  </w:t>
            </w:r>
            <w:r>
              <w:rPr>
                <w:spacing w:val="-3"/>
              </w:rPr>
              <w:t>象。</w:t>
            </w:r>
          </w:p>
          <w:p>
            <w:pPr>
              <w:pStyle w:val="6"/>
              <w:spacing w:before="28" w:line="213" w:lineRule="auto"/>
              <w:ind w:left="108"/>
            </w:pPr>
            <w:r>
              <w:rPr>
                <w:rFonts w:ascii="Times New Roman" w:hAnsi="Times New Roman" w:eastAsia="Times New Roman" w:cs="Times New Roman"/>
                <w:spacing w:val="8"/>
              </w:rPr>
              <w:t>2.</w:t>
            </w:r>
            <w:r>
              <w:rPr>
                <w:spacing w:val="8"/>
              </w:rPr>
              <w:t>现场提供的平面图与实际不一致。</w:t>
            </w:r>
          </w:p>
        </w:tc>
        <w:tc>
          <w:tcPr>
            <w:tcW w:w="450" w:type="dxa"/>
            <w:vAlign w:val="top"/>
          </w:tcPr>
          <w:p>
            <w:pPr>
              <w:spacing w:line="417" w:lineRule="auto"/>
              <w:rPr>
                <w:rFonts w:ascii="Arial"/>
                <w:sz w:val="21"/>
              </w:rPr>
            </w:pPr>
          </w:p>
          <w:p>
            <w:pPr>
              <w:spacing w:before="57"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58"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5" w:line="225" w:lineRule="auto"/>
              <w:ind w:left="129"/>
            </w:pPr>
            <w:r>
              <w:rPr>
                <w:rFonts w:ascii="Times New Roman" w:hAnsi="Times New Roman" w:eastAsia="Times New Roman" w:cs="Times New Roman"/>
                <w:spacing w:val="5"/>
              </w:rPr>
              <w:t>1.</w:t>
            </w:r>
            <w:r>
              <w:rPr>
                <w:spacing w:val="5"/>
              </w:rPr>
              <w:t>厂区环境不整洁。</w:t>
            </w:r>
          </w:p>
          <w:p>
            <w:pPr>
              <w:pStyle w:val="6"/>
              <w:spacing w:before="28" w:line="223" w:lineRule="auto"/>
              <w:ind w:left="108"/>
            </w:pPr>
            <w:r>
              <w:rPr>
                <w:rFonts w:ascii="Times New Roman" w:hAnsi="Times New Roman" w:eastAsia="Times New Roman" w:cs="Times New Roman"/>
                <w:spacing w:val="8"/>
              </w:rPr>
              <w:t>2.</w:t>
            </w:r>
            <w:r>
              <w:rPr>
                <w:spacing w:val="8"/>
              </w:rPr>
              <w:t>厂区布局不合理，存在交叉污染现象。</w:t>
            </w:r>
          </w:p>
          <w:p>
            <w:pPr>
              <w:pStyle w:val="6"/>
              <w:spacing w:before="30" w:line="239" w:lineRule="auto"/>
              <w:ind w:left="119" w:right="107" w:hanging="6"/>
            </w:pPr>
            <w:r>
              <w:rPr>
                <w:rFonts w:ascii="Times New Roman" w:hAnsi="Times New Roman" w:eastAsia="Times New Roman" w:cs="Times New Roman"/>
                <w:spacing w:val="5"/>
              </w:rPr>
              <w:t>3.</w:t>
            </w:r>
            <w:r>
              <w:rPr>
                <w:rFonts w:ascii="Times New Roman" w:hAnsi="Times New Roman" w:eastAsia="Times New Roman" w:cs="Times New Roman"/>
                <w:spacing w:val="-24"/>
              </w:rPr>
              <w:t xml:space="preserve"> </w:t>
            </w:r>
            <w:r>
              <w:rPr>
                <w:spacing w:val="5"/>
              </w:rPr>
              <w:t>生活区与生产区未保持适当距离或分隔，存在</w:t>
            </w:r>
            <w:r>
              <w:t xml:space="preserve"> </w:t>
            </w:r>
            <w:r>
              <w:rPr>
                <w:spacing w:val="6"/>
              </w:rPr>
              <w:t>交叉污染风险。</w:t>
            </w:r>
          </w:p>
          <w:p>
            <w:pPr>
              <w:pStyle w:val="6"/>
              <w:spacing w:before="26" w:line="233" w:lineRule="auto"/>
              <w:ind w:left="113" w:right="46" w:hanging="6"/>
            </w:pPr>
            <w:r>
              <w:rPr>
                <w:rFonts w:ascii="Times New Roman" w:hAnsi="Times New Roman" w:eastAsia="Times New Roman" w:cs="Times New Roman"/>
                <w:spacing w:val="6"/>
              </w:rPr>
              <w:t>4.</w:t>
            </w:r>
            <w:r>
              <w:rPr>
                <w:spacing w:val="6"/>
              </w:rPr>
              <w:t>绿化带紧邻车间、仓库，有虫害大量孳生和侵</w:t>
            </w:r>
            <w:r>
              <w:rPr>
                <w:spacing w:val="12"/>
              </w:rPr>
              <w:t xml:space="preserve"> </w:t>
            </w:r>
            <w:r>
              <w:rPr>
                <w:spacing w:val="7"/>
              </w:rPr>
              <w:t>入生产场所的现象，存在较为严重的污染风险。</w:t>
            </w:r>
          </w:p>
        </w:tc>
        <w:tc>
          <w:tcPr>
            <w:tcW w:w="450" w:type="dxa"/>
            <w:vAlign w:val="top"/>
          </w:tcPr>
          <w:p>
            <w:pPr>
              <w:spacing w:line="345" w:lineRule="auto"/>
              <w:rPr>
                <w:rFonts w:ascii="Arial"/>
                <w:sz w:val="21"/>
              </w:rPr>
            </w:pPr>
          </w:p>
          <w:p>
            <w:pPr>
              <w:spacing w:line="345" w:lineRule="auto"/>
              <w:rPr>
                <w:rFonts w:ascii="Arial"/>
                <w:sz w:val="21"/>
              </w:rPr>
            </w:pPr>
          </w:p>
          <w:p>
            <w:pPr>
              <w:spacing w:before="57"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58"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before="57" w:line="195" w:lineRule="auto"/>
              <w:ind w:left="16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1.2</w:t>
            </w:r>
          </w:p>
        </w:tc>
        <w:tc>
          <w:tcPr>
            <w:tcW w:w="763" w:type="dxa"/>
            <w:vMerge w:val="restart"/>
            <w:tcBorders>
              <w:bottom w:val="nil"/>
            </w:tcBorders>
            <w:vAlign w:val="top"/>
          </w:tcPr>
          <w:p>
            <w:pPr>
              <w:spacing w:line="263" w:lineRule="auto"/>
              <w:rPr>
                <w:rFonts w:ascii="Arial"/>
                <w:sz w:val="21"/>
              </w:rPr>
            </w:pPr>
          </w:p>
          <w:p>
            <w:pPr>
              <w:pStyle w:val="6"/>
              <w:spacing w:before="65" w:line="228" w:lineRule="auto"/>
              <w:ind w:left="180"/>
            </w:pPr>
            <w:r>
              <w:rPr>
                <w:spacing w:val="2"/>
              </w:rPr>
              <w:t>厂房</w:t>
            </w:r>
          </w:p>
          <w:p>
            <w:pPr>
              <w:pStyle w:val="6"/>
              <w:spacing w:before="26" w:line="223" w:lineRule="auto"/>
              <w:ind w:left="179"/>
            </w:pPr>
            <w:r>
              <w:rPr>
                <w:spacing w:val="2"/>
              </w:rPr>
              <w:t>和车</w:t>
            </w:r>
          </w:p>
          <w:p>
            <w:pPr>
              <w:pStyle w:val="6"/>
              <w:spacing w:before="30" w:line="226" w:lineRule="auto"/>
              <w:ind w:left="300"/>
            </w:pPr>
            <w:r>
              <w:t>间</w:t>
            </w:r>
          </w:p>
        </w:tc>
        <w:tc>
          <w:tcPr>
            <w:tcW w:w="4363" w:type="dxa"/>
            <w:vMerge w:val="restart"/>
            <w:tcBorders>
              <w:bottom w:val="nil"/>
            </w:tcBorders>
            <w:vAlign w:val="top"/>
          </w:tcPr>
          <w:p>
            <w:pPr>
              <w:pStyle w:val="6"/>
              <w:spacing w:before="59" w:line="246" w:lineRule="auto"/>
              <w:ind w:left="108" w:right="106" w:firstLine="17"/>
              <w:jc w:val="both"/>
            </w:pPr>
            <w:r>
              <w:rPr>
                <w:rFonts w:ascii="Times New Roman" w:hAnsi="Times New Roman" w:eastAsia="Times New Roman" w:cs="Times New Roman"/>
                <w:spacing w:val="8"/>
              </w:rPr>
              <w:t>1.</w:t>
            </w:r>
            <w:r>
              <w:rPr>
                <w:spacing w:val="8"/>
              </w:rPr>
              <w:t>应当具有与生产的产品品种、数量相适应的</w:t>
            </w:r>
            <w:r>
              <w:rPr>
                <w:spacing w:val="3"/>
              </w:rPr>
              <w:t xml:space="preserve"> </w:t>
            </w:r>
            <w:r>
              <w:rPr>
                <w:spacing w:val="7"/>
              </w:rPr>
              <w:t>厂房和车间，并根据生产工艺及清洁程度的要</w:t>
            </w:r>
            <w:r>
              <w:t xml:space="preserve"> </w:t>
            </w:r>
            <w:r>
              <w:rPr>
                <w:spacing w:val="7"/>
              </w:rPr>
              <w:t>求合理布局和划分作业区，避免交叉污染；厂</w:t>
            </w:r>
            <w:r>
              <w:rPr>
                <w:spacing w:val="2"/>
              </w:rPr>
              <w:t xml:space="preserve"> </w:t>
            </w:r>
            <w:r>
              <w:rPr>
                <w:spacing w:val="7"/>
              </w:rPr>
              <w:t>房内设置的检验室应当与生产区域分隔。现场</w:t>
            </w:r>
            <w:r>
              <w:t xml:space="preserve"> </w:t>
            </w:r>
            <w:r>
              <w:rPr>
                <w:spacing w:val="7"/>
              </w:rPr>
              <w:t>提供的《食品添加剂生产加工场所各功能区间</w:t>
            </w:r>
          </w:p>
        </w:tc>
        <w:tc>
          <w:tcPr>
            <w:tcW w:w="4513" w:type="dxa"/>
            <w:vAlign w:val="top"/>
          </w:tcPr>
          <w:p>
            <w:pPr>
              <w:pStyle w:val="6"/>
              <w:spacing w:before="191" w:line="224" w:lineRule="auto"/>
              <w:ind w:left="118"/>
            </w:pPr>
            <w:r>
              <w:rPr>
                <w:spacing w:val="6"/>
              </w:rPr>
              <w:t>符合规定要求。</w:t>
            </w:r>
          </w:p>
        </w:tc>
        <w:tc>
          <w:tcPr>
            <w:tcW w:w="450" w:type="dxa"/>
            <w:vAlign w:val="top"/>
          </w:tcPr>
          <w:p>
            <w:pPr>
              <w:spacing w:before="226"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58"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6" w:line="238" w:lineRule="auto"/>
              <w:ind w:left="116" w:right="104" w:firstLine="12"/>
            </w:pPr>
            <w:r>
              <w:rPr>
                <w:rFonts w:ascii="Times New Roman" w:hAnsi="Times New Roman" w:eastAsia="Times New Roman" w:cs="Times New Roman"/>
                <w:spacing w:val="5"/>
              </w:rPr>
              <w:t>1.</w:t>
            </w:r>
            <w:r>
              <w:rPr>
                <w:spacing w:val="5"/>
              </w:rPr>
              <w:t>作业区布局和划分存在轻微缺陷。现场提供的</w:t>
            </w:r>
            <w:r>
              <w:rPr>
                <w:spacing w:val="13"/>
              </w:rPr>
              <w:t xml:space="preserve"> </w:t>
            </w:r>
            <w:r>
              <w:rPr>
                <w:spacing w:val="7"/>
              </w:rPr>
              <w:t>平面图与实际不一致。</w:t>
            </w:r>
          </w:p>
          <w:p>
            <w:pPr>
              <w:pStyle w:val="6"/>
              <w:spacing w:before="27" w:line="216" w:lineRule="auto"/>
              <w:ind w:left="108"/>
            </w:pPr>
            <w:r>
              <w:rPr>
                <w:rFonts w:ascii="Times New Roman" w:hAnsi="Times New Roman" w:eastAsia="Times New Roman" w:cs="Times New Roman"/>
                <w:spacing w:val="8"/>
              </w:rPr>
              <w:t>2.</w:t>
            </w:r>
            <w:r>
              <w:rPr>
                <w:spacing w:val="8"/>
              </w:rPr>
              <w:t>厂区各区域及设施的标志不符合要求。</w:t>
            </w:r>
          </w:p>
        </w:tc>
        <w:tc>
          <w:tcPr>
            <w:tcW w:w="450" w:type="dxa"/>
            <w:vAlign w:val="top"/>
          </w:tcPr>
          <w:p>
            <w:pPr>
              <w:spacing w:line="284" w:lineRule="auto"/>
              <w:rPr>
                <w:rFonts w:ascii="Arial"/>
                <w:sz w:val="21"/>
              </w:rPr>
            </w:pPr>
          </w:p>
          <w:p>
            <w:pPr>
              <w:spacing w:before="57"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8" w:type="default"/>
          <w:pgSz w:w="15840" w:h="12240"/>
          <w:pgMar w:top="1040" w:right="1327" w:bottom="897" w:left="1327" w:header="0" w:footer="724" w:gutter="0"/>
          <w:cols w:space="720" w:num="1"/>
        </w:sectPr>
      </w:pPr>
    </w:p>
    <w:p>
      <w:pPr>
        <w:spacing w:before="12"/>
      </w:pPr>
    </w:p>
    <w:p>
      <w:pPr>
        <w:spacing w:before="12"/>
      </w:pPr>
    </w:p>
    <w:p>
      <w:pPr>
        <w:spacing w:before="11"/>
      </w:pPr>
    </w:p>
    <w:tbl>
      <w:tblPr>
        <w:tblStyle w:val="5"/>
        <w:tblW w:w="13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763"/>
        <w:gridCol w:w="4363"/>
        <w:gridCol w:w="4513"/>
        <w:gridCol w:w="450"/>
        <w:gridCol w:w="1139"/>
        <w:gridCol w:w="1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58" w:type="dxa"/>
            <w:textDirection w:val="tbRlV"/>
            <w:vAlign w:val="top"/>
          </w:tcPr>
          <w:p>
            <w:pPr>
              <w:spacing w:before="174"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63" w:type="dxa"/>
            <w:vAlign w:val="top"/>
          </w:tcPr>
          <w:p>
            <w:pPr>
              <w:spacing w:before="37" w:line="234" w:lineRule="auto"/>
              <w:ind w:left="174" w:right="17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3" w:type="dxa"/>
            <w:vAlign w:val="top"/>
          </w:tcPr>
          <w:p>
            <w:pPr>
              <w:spacing w:before="171" w:line="231" w:lineRule="auto"/>
              <w:ind w:left="1762"/>
              <w:rPr>
                <w:rFonts w:ascii="黑体" w:hAnsi="黑体" w:eastAsia="黑体" w:cs="黑体"/>
                <w:sz w:val="20"/>
                <w:szCs w:val="20"/>
              </w:rPr>
            </w:pPr>
            <w:r>
              <w:rPr>
                <w:rFonts w:ascii="黑体" w:hAnsi="黑体" w:eastAsia="黑体" w:cs="黑体"/>
                <w:spacing w:val="7"/>
                <w:sz w:val="20"/>
                <w:szCs w:val="20"/>
              </w:rPr>
              <w:t>核查内容</w:t>
            </w:r>
          </w:p>
        </w:tc>
        <w:tc>
          <w:tcPr>
            <w:tcW w:w="4963" w:type="dxa"/>
            <w:gridSpan w:val="2"/>
            <w:vAlign w:val="top"/>
          </w:tcPr>
          <w:p>
            <w:pPr>
              <w:spacing w:before="171" w:line="230" w:lineRule="auto"/>
              <w:ind w:left="2065"/>
              <w:rPr>
                <w:rFonts w:ascii="黑体" w:hAnsi="黑体" w:eastAsia="黑体" w:cs="黑体"/>
                <w:sz w:val="20"/>
                <w:szCs w:val="20"/>
              </w:rPr>
            </w:pPr>
            <w:r>
              <w:rPr>
                <w:rFonts w:ascii="黑体" w:hAnsi="黑体" w:eastAsia="黑体" w:cs="黑体"/>
                <w:spacing w:val="7"/>
                <w:sz w:val="20"/>
                <w:szCs w:val="20"/>
              </w:rPr>
              <w:t>评分标准</w:t>
            </w:r>
          </w:p>
        </w:tc>
        <w:tc>
          <w:tcPr>
            <w:tcW w:w="1139" w:type="dxa"/>
            <w:vAlign w:val="top"/>
          </w:tcPr>
          <w:p>
            <w:pPr>
              <w:spacing w:before="171" w:line="231" w:lineRule="auto"/>
              <w:ind w:left="154"/>
              <w:rPr>
                <w:rFonts w:ascii="黑体" w:hAnsi="黑体" w:eastAsia="黑体" w:cs="黑体"/>
                <w:sz w:val="20"/>
                <w:szCs w:val="20"/>
              </w:rPr>
            </w:pPr>
            <w:r>
              <w:rPr>
                <w:rFonts w:ascii="黑体" w:hAnsi="黑体" w:eastAsia="黑体" w:cs="黑体"/>
                <w:spacing w:val="7"/>
                <w:sz w:val="20"/>
                <w:szCs w:val="20"/>
              </w:rPr>
              <w:t>核查得分</w:t>
            </w:r>
          </w:p>
        </w:tc>
        <w:tc>
          <w:tcPr>
            <w:tcW w:w="1394" w:type="dxa"/>
            <w:vAlign w:val="top"/>
          </w:tcPr>
          <w:p>
            <w:pPr>
              <w:spacing w:before="171" w:line="230" w:lineRule="auto"/>
              <w:ind w:left="280"/>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58" w:type="dxa"/>
            <w:vMerge w:val="restart"/>
            <w:tcBorders>
              <w:bottom w:val="nil"/>
            </w:tcBorders>
            <w:vAlign w:val="top"/>
          </w:tcPr>
          <w:p>
            <w:pPr>
              <w:rPr>
                <w:rFonts w:ascii="Arial"/>
                <w:sz w:val="21"/>
              </w:rPr>
            </w:pPr>
          </w:p>
        </w:tc>
        <w:tc>
          <w:tcPr>
            <w:tcW w:w="763" w:type="dxa"/>
            <w:vMerge w:val="restart"/>
            <w:tcBorders>
              <w:bottom w:val="nil"/>
            </w:tcBorders>
            <w:vAlign w:val="top"/>
          </w:tcPr>
          <w:p>
            <w:pPr>
              <w:rPr>
                <w:rFonts w:ascii="Arial"/>
                <w:sz w:val="21"/>
              </w:rPr>
            </w:pPr>
          </w:p>
        </w:tc>
        <w:tc>
          <w:tcPr>
            <w:tcW w:w="4363" w:type="dxa"/>
            <w:vMerge w:val="restart"/>
            <w:tcBorders>
              <w:bottom w:val="nil"/>
            </w:tcBorders>
            <w:vAlign w:val="top"/>
          </w:tcPr>
          <w:p>
            <w:pPr>
              <w:pStyle w:val="6"/>
              <w:spacing w:before="31" w:line="223" w:lineRule="auto"/>
              <w:ind w:left="107"/>
            </w:pPr>
            <w:r>
              <w:rPr>
                <w:spacing w:val="8"/>
              </w:rPr>
              <w:t>布局平面图》与实际一致。</w:t>
            </w:r>
          </w:p>
        </w:tc>
        <w:tc>
          <w:tcPr>
            <w:tcW w:w="4513" w:type="dxa"/>
            <w:vAlign w:val="top"/>
          </w:tcPr>
          <w:p>
            <w:pPr>
              <w:pStyle w:val="6"/>
              <w:spacing w:before="27" w:line="236" w:lineRule="auto"/>
              <w:ind w:left="112" w:right="104"/>
            </w:pPr>
            <w:r>
              <w:rPr>
                <w:rFonts w:ascii="Times New Roman" w:hAnsi="Times New Roman" w:eastAsia="Times New Roman" w:cs="Times New Roman"/>
                <w:spacing w:val="6"/>
              </w:rPr>
              <w:t>3.</w:t>
            </w:r>
            <w:r>
              <w:rPr>
                <w:spacing w:val="6"/>
              </w:rPr>
              <w:t xml:space="preserve">使用、贮存危险化学品场所的警示标志和警示 </w:t>
            </w:r>
            <w:r>
              <w:rPr>
                <w:spacing w:val="7"/>
              </w:rPr>
              <w:t>说明不符合要求。</w:t>
            </w:r>
          </w:p>
        </w:tc>
        <w:tc>
          <w:tcPr>
            <w:tcW w:w="450" w:type="dxa"/>
            <w:vAlign w:val="top"/>
          </w:tcPr>
          <w:p>
            <w:pPr>
              <w:rPr>
                <w:rFonts w:ascii="Arial"/>
                <w:sz w:val="21"/>
              </w:rPr>
            </w:pP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2" w:line="243" w:lineRule="auto"/>
              <w:ind w:left="115" w:right="104" w:firstLine="13"/>
              <w:jc w:val="both"/>
            </w:pPr>
            <w:r>
              <w:rPr>
                <w:rFonts w:ascii="Times New Roman" w:hAnsi="Times New Roman" w:eastAsia="Times New Roman" w:cs="Times New Roman"/>
                <w:spacing w:val="5"/>
              </w:rPr>
              <w:t>1.</w:t>
            </w:r>
            <w:r>
              <w:rPr>
                <w:spacing w:val="5"/>
              </w:rPr>
              <w:t>厂房和车间的种类、数量以及厂房面积与空间</w:t>
            </w:r>
            <w:r>
              <w:rPr>
                <w:spacing w:val="13"/>
              </w:rPr>
              <w:t xml:space="preserve"> </w:t>
            </w:r>
            <w:r>
              <w:rPr>
                <w:spacing w:val="9"/>
              </w:rPr>
              <w:t>不能满足生产需求，或者作业区布局和划分不</w:t>
            </w:r>
            <w:r>
              <w:rPr>
                <w:spacing w:val="3"/>
              </w:rPr>
              <w:t xml:space="preserve">  </w:t>
            </w:r>
            <w:r>
              <w:rPr>
                <w:spacing w:val="2"/>
              </w:rPr>
              <w:t>合理。</w:t>
            </w:r>
          </w:p>
          <w:p>
            <w:pPr>
              <w:pStyle w:val="6"/>
              <w:spacing w:before="27" w:line="242" w:lineRule="auto"/>
              <w:ind w:left="112" w:right="46" w:hanging="4"/>
            </w:pPr>
            <w:r>
              <w:rPr>
                <w:rFonts w:ascii="Times New Roman" w:hAnsi="Times New Roman" w:eastAsia="Times New Roman" w:cs="Times New Roman"/>
              </w:rPr>
              <w:t>2.</w:t>
            </w:r>
            <w:r>
              <w:t>检验室（过程检验室除外）未与生产区域分隔。</w:t>
            </w:r>
            <w:r>
              <w:rPr>
                <w:spacing w:val="1"/>
              </w:rPr>
              <w:t xml:space="preserve"> </w:t>
            </w:r>
            <w:r>
              <w:rPr>
                <w:rFonts w:ascii="Times New Roman" w:hAnsi="Times New Roman" w:eastAsia="Times New Roman" w:cs="Times New Roman"/>
                <w:spacing w:val="8"/>
              </w:rPr>
              <w:t>3.</w:t>
            </w:r>
            <w:r>
              <w:rPr>
                <w:spacing w:val="8"/>
              </w:rPr>
              <w:t>车间内设置的过程检验室不符合相关区域卫</w:t>
            </w:r>
            <w:r>
              <w:rPr>
                <w:spacing w:val="5"/>
              </w:rPr>
              <w:t xml:space="preserve">   </w:t>
            </w:r>
            <w:r>
              <w:rPr>
                <w:spacing w:val="8"/>
              </w:rPr>
              <w:t>生要求，存在交叉污染。</w:t>
            </w:r>
          </w:p>
          <w:p>
            <w:pPr>
              <w:pStyle w:val="6"/>
              <w:spacing w:before="32" w:line="225" w:lineRule="auto"/>
              <w:ind w:left="107"/>
            </w:pPr>
            <w:r>
              <w:rPr>
                <w:rFonts w:ascii="Times New Roman" w:hAnsi="Times New Roman" w:eastAsia="Times New Roman" w:cs="Times New Roman"/>
                <w:spacing w:val="7"/>
              </w:rPr>
              <w:t>4.</w:t>
            </w:r>
            <w:r>
              <w:rPr>
                <w:spacing w:val="7"/>
              </w:rPr>
              <w:t>厂区各区域及设施无标志。</w:t>
            </w:r>
          </w:p>
          <w:p>
            <w:pPr>
              <w:pStyle w:val="6"/>
              <w:spacing w:before="23"/>
              <w:ind w:left="125" w:right="104" w:hanging="11"/>
            </w:pPr>
            <w:r>
              <w:rPr>
                <w:rFonts w:ascii="Times New Roman" w:hAnsi="Times New Roman" w:eastAsia="Times New Roman" w:cs="Times New Roman"/>
                <w:spacing w:val="6"/>
              </w:rPr>
              <w:t>5.</w:t>
            </w:r>
            <w:r>
              <w:rPr>
                <w:spacing w:val="6"/>
              </w:rPr>
              <w:t>使用、贮存危险化学品的场所无警示标志和警</w:t>
            </w:r>
            <w:r>
              <w:rPr>
                <w:spacing w:val="5"/>
              </w:rPr>
              <w:t xml:space="preserve"> </w:t>
            </w:r>
            <w:r>
              <w:rPr>
                <w:spacing w:val="1"/>
              </w:rPr>
              <w:t>示说明。</w:t>
            </w:r>
          </w:p>
          <w:p>
            <w:pPr>
              <w:pStyle w:val="6"/>
              <w:spacing w:before="28" w:line="233" w:lineRule="auto"/>
              <w:ind w:left="118" w:right="107" w:hanging="5"/>
            </w:pPr>
            <w:r>
              <w:rPr>
                <w:rFonts w:ascii="Times New Roman" w:hAnsi="Times New Roman" w:eastAsia="Times New Roman" w:cs="Times New Roman"/>
                <w:spacing w:val="6"/>
              </w:rPr>
              <w:t>6.</w:t>
            </w:r>
            <w:r>
              <w:rPr>
                <w:spacing w:val="6"/>
              </w:rPr>
              <w:t>可能产生有害气体、粉尘、污水和废渣等污染</w:t>
            </w:r>
            <w:r>
              <w:rPr>
                <w:spacing w:val="4"/>
              </w:rPr>
              <w:t xml:space="preserve"> </w:t>
            </w:r>
            <w:r>
              <w:rPr>
                <w:spacing w:val="7"/>
              </w:rPr>
              <w:t>源的生产场所没有单独设置。</w:t>
            </w:r>
          </w:p>
        </w:tc>
        <w:tc>
          <w:tcPr>
            <w:tcW w:w="45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8"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restart"/>
            <w:tcBorders>
              <w:bottom w:val="nil"/>
            </w:tcBorders>
            <w:vAlign w:val="top"/>
          </w:tcPr>
          <w:p>
            <w:pPr>
              <w:spacing w:line="327" w:lineRule="auto"/>
              <w:rPr>
                <w:rFonts w:ascii="Arial"/>
                <w:sz w:val="21"/>
              </w:rPr>
            </w:pPr>
          </w:p>
          <w:p>
            <w:pPr>
              <w:spacing w:line="327" w:lineRule="auto"/>
              <w:rPr>
                <w:rFonts w:ascii="Arial"/>
                <w:sz w:val="21"/>
              </w:rPr>
            </w:pPr>
          </w:p>
          <w:p>
            <w:pPr>
              <w:pStyle w:val="6"/>
              <w:spacing w:before="65" w:line="248" w:lineRule="auto"/>
              <w:ind w:left="108" w:right="98" w:hanging="2"/>
            </w:pPr>
            <w:r>
              <w:rPr>
                <w:rFonts w:ascii="Times New Roman" w:hAnsi="Times New Roman" w:eastAsia="Times New Roman" w:cs="Times New Roman"/>
                <w:spacing w:val="7"/>
              </w:rPr>
              <w:t>2.</w:t>
            </w:r>
            <w:r>
              <w:rPr>
                <w:spacing w:val="7"/>
              </w:rPr>
              <w:t>地面、墙面、</w:t>
            </w:r>
            <w:r>
              <w:rPr>
                <w:spacing w:val="-46"/>
              </w:rPr>
              <w:t xml:space="preserve"> </w:t>
            </w:r>
            <w:r>
              <w:rPr>
                <w:spacing w:val="7"/>
              </w:rPr>
              <w:t>门窗、顶棚等应当易于维护、</w:t>
            </w:r>
            <w:r>
              <w:t xml:space="preserve"> </w:t>
            </w:r>
            <w:r>
              <w:rPr>
                <w:spacing w:val="7"/>
              </w:rPr>
              <w:t>清洁或消毒。应当采用适当的耐用材料建造。</w:t>
            </w:r>
            <w:r>
              <w:rPr>
                <w:spacing w:val="9"/>
              </w:rPr>
              <w:t xml:space="preserve"> 清洁作业区和准清洁作业区还应根据产品特</w:t>
            </w:r>
            <w:r>
              <w:rPr>
                <w:spacing w:val="5"/>
              </w:rPr>
              <w:t xml:space="preserve">  </w:t>
            </w:r>
            <w:r>
              <w:rPr>
                <w:spacing w:val="7"/>
              </w:rPr>
              <w:t>点符合相应的卫生要求。酶制剂、有微生物指</w:t>
            </w:r>
            <w:r>
              <w:rPr>
                <w:spacing w:val="2"/>
              </w:rPr>
              <w:t xml:space="preserve"> </w:t>
            </w:r>
            <w:r>
              <w:rPr>
                <w:spacing w:val="7"/>
              </w:rPr>
              <w:t>标要求的食品添加剂生产车间的地面、墙面、</w:t>
            </w:r>
            <w:r>
              <w:rPr>
                <w:spacing w:val="9"/>
              </w:rPr>
              <w:t xml:space="preserve"> </w:t>
            </w:r>
            <w:r>
              <w:rPr>
                <w:spacing w:val="7"/>
              </w:rPr>
              <w:t>门窗、顶棚要求应当符合食品加工企业生产场</w:t>
            </w:r>
            <w:r>
              <w:rPr>
                <w:spacing w:val="2"/>
              </w:rPr>
              <w:t xml:space="preserve"> </w:t>
            </w:r>
            <w:r>
              <w:rPr>
                <w:spacing w:val="7"/>
              </w:rPr>
              <w:t>所的相关卫生要求。</w:t>
            </w:r>
          </w:p>
        </w:tc>
        <w:tc>
          <w:tcPr>
            <w:tcW w:w="4513" w:type="dxa"/>
            <w:vAlign w:val="top"/>
          </w:tcPr>
          <w:p>
            <w:pPr>
              <w:pStyle w:val="6"/>
              <w:spacing w:before="35" w:line="215" w:lineRule="auto"/>
              <w:ind w:left="118"/>
            </w:pPr>
            <w:r>
              <w:rPr>
                <w:spacing w:val="6"/>
              </w:rPr>
              <w:t>符合规定要求。</w:t>
            </w:r>
          </w:p>
        </w:tc>
        <w:tc>
          <w:tcPr>
            <w:tcW w:w="450" w:type="dxa"/>
            <w:vAlign w:val="top"/>
          </w:tcPr>
          <w:p>
            <w:pPr>
              <w:spacing w:before="69"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13" w:type="dxa"/>
            <w:vAlign w:val="top"/>
          </w:tcPr>
          <w:p>
            <w:pPr>
              <w:pStyle w:val="6"/>
              <w:spacing w:before="34" w:line="223" w:lineRule="auto"/>
              <w:ind w:left="129"/>
            </w:pPr>
            <w:r>
              <w:rPr>
                <w:rFonts w:ascii="Times New Roman" w:hAnsi="Times New Roman" w:eastAsia="Times New Roman" w:cs="Times New Roman"/>
                <w:spacing w:val="6"/>
              </w:rPr>
              <w:t>1.</w:t>
            </w:r>
            <w:r>
              <w:rPr>
                <w:spacing w:val="6"/>
              </w:rPr>
              <w:t>车间清洁程度略有不足。</w:t>
            </w:r>
          </w:p>
          <w:p>
            <w:pPr>
              <w:pStyle w:val="6"/>
              <w:spacing w:before="29" w:line="238" w:lineRule="auto"/>
              <w:ind w:left="116" w:right="104" w:hanging="8"/>
            </w:pPr>
            <w:r>
              <w:rPr>
                <w:rFonts w:ascii="Times New Roman" w:hAnsi="Times New Roman" w:eastAsia="Times New Roman" w:cs="Times New Roman"/>
                <w:spacing w:val="6"/>
              </w:rPr>
              <w:t>2.</w:t>
            </w:r>
            <w:r>
              <w:rPr>
                <w:spacing w:val="6"/>
              </w:rPr>
              <w:t>车间个别部位的顶棚、墙壁、地面和门窗构造</w:t>
            </w:r>
            <w:r>
              <w:rPr>
                <w:spacing w:val="11"/>
              </w:rPr>
              <w:t xml:space="preserve"> </w:t>
            </w:r>
            <w:r>
              <w:rPr>
                <w:spacing w:val="8"/>
              </w:rPr>
              <w:t>有缺陷，或者相关防护措施略有不足。</w:t>
            </w:r>
          </w:p>
          <w:p>
            <w:pPr>
              <w:pStyle w:val="6"/>
              <w:spacing w:before="29" w:line="233" w:lineRule="auto"/>
              <w:ind w:left="109" w:right="104" w:firstLine="3"/>
            </w:pPr>
            <w:r>
              <w:rPr>
                <w:rFonts w:ascii="Times New Roman" w:hAnsi="Times New Roman" w:eastAsia="Times New Roman" w:cs="Times New Roman"/>
                <w:spacing w:val="6"/>
              </w:rPr>
              <w:t>3.</w:t>
            </w:r>
            <w:r>
              <w:rPr>
                <w:spacing w:val="6"/>
              </w:rPr>
              <w:t>个别裸露食品添加剂上方的管路、装备存在轻 微缺陷。</w:t>
            </w:r>
          </w:p>
        </w:tc>
        <w:tc>
          <w:tcPr>
            <w:tcW w:w="450" w:type="dxa"/>
            <w:vAlign w:val="top"/>
          </w:tcPr>
          <w:p>
            <w:pPr>
              <w:spacing w:line="275" w:lineRule="auto"/>
              <w:rPr>
                <w:rFonts w:ascii="Arial"/>
                <w:sz w:val="21"/>
              </w:rPr>
            </w:pPr>
          </w:p>
          <w:p>
            <w:pPr>
              <w:spacing w:line="276" w:lineRule="auto"/>
              <w:rPr>
                <w:rFonts w:ascii="Arial"/>
                <w:sz w:val="21"/>
              </w:rPr>
            </w:pPr>
          </w:p>
          <w:p>
            <w:pPr>
              <w:spacing w:before="58"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5" w:line="239" w:lineRule="auto"/>
              <w:ind w:left="115" w:right="104" w:firstLine="13"/>
            </w:pPr>
            <w:r>
              <w:rPr>
                <w:rFonts w:ascii="Times New Roman" w:hAnsi="Times New Roman" w:eastAsia="Times New Roman" w:cs="Times New Roman"/>
                <w:spacing w:val="5"/>
              </w:rPr>
              <w:t>1.</w:t>
            </w:r>
            <w:r>
              <w:rPr>
                <w:spacing w:val="5"/>
              </w:rPr>
              <w:t>车间清洁不洁，严重影响食品添加剂加工卫生</w:t>
            </w:r>
            <w:r>
              <w:rPr>
                <w:spacing w:val="13"/>
              </w:rPr>
              <w:t xml:space="preserve"> </w:t>
            </w:r>
            <w:r>
              <w:rPr>
                <w:spacing w:val="2"/>
              </w:rPr>
              <w:t>条件。</w:t>
            </w:r>
          </w:p>
          <w:p>
            <w:pPr>
              <w:pStyle w:val="6"/>
              <w:spacing w:before="26" w:line="238" w:lineRule="auto"/>
              <w:ind w:left="109" w:right="51" w:hanging="1"/>
            </w:pPr>
            <w:r>
              <w:rPr>
                <w:rFonts w:ascii="Times New Roman" w:hAnsi="Times New Roman" w:eastAsia="Times New Roman" w:cs="Times New Roman"/>
              </w:rPr>
              <w:t>2.</w:t>
            </w:r>
            <w:r>
              <w:t>车间的顶棚、墙壁、地面和门窗构造缺</w:t>
            </w:r>
            <w:r>
              <w:rPr>
                <w:spacing w:val="-1"/>
              </w:rPr>
              <w:t>陷明显，</w:t>
            </w:r>
            <w:r>
              <w:t xml:space="preserve"> </w:t>
            </w:r>
            <w:r>
              <w:rPr>
                <w:spacing w:val="8"/>
              </w:rPr>
              <w:t>存在交叉污染现象。</w:t>
            </w:r>
          </w:p>
          <w:p>
            <w:pPr>
              <w:pStyle w:val="6"/>
              <w:spacing w:before="30" w:line="232" w:lineRule="auto"/>
              <w:ind w:left="113" w:right="258"/>
            </w:pPr>
            <w:r>
              <w:rPr>
                <w:rFonts w:ascii="Times New Roman" w:hAnsi="Times New Roman" w:eastAsia="Times New Roman" w:cs="Times New Roman"/>
                <w:spacing w:val="8"/>
              </w:rPr>
              <w:t>3.</w:t>
            </w:r>
            <w:r>
              <w:rPr>
                <w:spacing w:val="8"/>
              </w:rPr>
              <w:t>裸露食品添加剂上方的管路、装备无防控措</w:t>
            </w:r>
            <w:r>
              <w:rPr>
                <w:spacing w:val="17"/>
              </w:rPr>
              <w:t xml:space="preserve"> </w:t>
            </w:r>
            <w:r>
              <w:t>施。</w:t>
            </w:r>
          </w:p>
        </w:tc>
        <w:tc>
          <w:tcPr>
            <w:tcW w:w="450" w:type="dxa"/>
            <w:vAlign w:val="top"/>
          </w:tcPr>
          <w:p>
            <w:pPr>
              <w:spacing w:line="345" w:lineRule="auto"/>
              <w:rPr>
                <w:rFonts w:ascii="Arial"/>
                <w:sz w:val="21"/>
              </w:rPr>
            </w:pPr>
          </w:p>
          <w:p>
            <w:pPr>
              <w:spacing w:line="345" w:lineRule="auto"/>
              <w:rPr>
                <w:rFonts w:ascii="Arial"/>
                <w:sz w:val="21"/>
              </w:rPr>
            </w:pPr>
          </w:p>
          <w:p>
            <w:pPr>
              <w:spacing w:before="57"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restart"/>
            <w:tcBorders>
              <w:bottom w:val="nil"/>
            </w:tcBorders>
            <w:vAlign w:val="top"/>
          </w:tcPr>
          <w:p>
            <w:pPr>
              <w:spacing w:line="252" w:lineRule="auto"/>
              <w:rPr>
                <w:rFonts w:ascii="Arial"/>
                <w:sz w:val="21"/>
              </w:rPr>
            </w:pPr>
          </w:p>
          <w:p>
            <w:pPr>
              <w:pStyle w:val="6"/>
              <w:spacing w:before="65" w:line="238" w:lineRule="auto"/>
              <w:ind w:left="115" w:right="108" w:hanging="5"/>
            </w:pPr>
            <w:r>
              <w:rPr>
                <w:rFonts w:ascii="Times New Roman" w:hAnsi="Times New Roman" w:eastAsia="Times New Roman" w:cs="Times New Roman"/>
                <w:spacing w:val="9"/>
              </w:rPr>
              <w:t>3.</w:t>
            </w:r>
            <w:r>
              <w:rPr>
                <w:spacing w:val="9"/>
              </w:rPr>
              <w:t>进出清洁作业区的人流、物流应当有防</w:t>
            </w:r>
            <w:r>
              <w:rPr>
                <w:spacing w:val="8"/>
              </w:rPr>
              <w:t>止交</w:t>
            </w:r>
            <w:r>
              <w:t xml:space="preserve"> </w:t>
            </w:r>
            <w:r>
              <w:rPr>
                <w:spacing w:val="6"/>
              </w:rPr>
              <w:t>叉污染的措施。</w:t>
            </w:r>
          </w:p>
        </w:tc>
        <w:tc>
          <w:tcPr>
            <w:tcW w:w="4513" w:type="dxa"/>
            <w:vAlign w:val="top"/>
          </w:tcPr>
          <w:p>
            <w:pPr>
              <w:pStyle w:val="6"/>
              <w:spacing w:before="36" w:line="214" w:lineRule="auto"/>
              <w:ind w:left="118"/>
            </w:pPr>
            <w:r>
              <w:rPr>
                <w:spacing w:val="6"/>
              </w:rPr>
              <w:t>符合规定要求。</w:t>
            </w:r>
          </w:p>
        </w:tc>
        <w:tc>
          <w:tcPr>
            <w:tcW w:w="450" w:type="dxa"/>
            <w:vAlign w:val="top"/>
          </w:tcPr>
          <w:p>
            <w:pPr>
              <w:spacing w:before="71"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13" w:type="dxa"/>
            <w:vAlign w:val="top"/>
          </w:tcPr>
          <w:p>
            <w:pPr>
              <w:pStyle w:val="6"/>
              <w:spacing w:before="36" w:line="232" w:lineRule="auto"/>
              <w:ind w:left="118" w:right="205" w:hanging="4"/>
            </w:pPr>
            <w:r>
              <w:rPr>
                <w:spacing w:val="9"/>
              </w:rPr>
              <w:t>个别人流、物流进出清洁作业区的防止交叉污</w:t>
            </w:r>
            <w:r>
              <w:rPr>
                <w:spacing w:val="6"/>
              </w:rPr>
              <w:t xml:space="preserve"> </w:t>
            </w:r>
            <w:r>
              <w:rPr>
                <w:spacing w:val="7"/>
              </w:rPr>
              <w:t>染的措施存在轻微缺陷。</w:t>
            </w:r>
          </w:p>
        </w:tc>
        <w:tc>
          <w:tcPr>
            <w:tcW w:w="450" w:type="dxa"/>
            <w:vAlign w:val="top"/>
          </w:tcPr>
          <w:p>
            <w:pPr>
              <w:spacing w:before="208"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58"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7" w:line="215" w:lineRule="auto"/>
              <w:ind w:left="122"/>
            </w:pPr>
            <w:r>
              <w:rPr>
                <w:spacing w:val="8"/>
              </w:rPr>
              <w:t>清洁作业区的防止人流、物流交叉污染的措施</w:t>
            </w:r>
          </w:p>
        </w:tc>
        <w:tc>
          <w:tcPr>
            <w:tcW w:w="450" w:type="dxa"/>
            <w:vAlign w:val="top"/>
          </w:tcPr>
          <w:p>
            <w:pPr>
              <w:spacing w:before="71"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9" w:type="default"/>
          <w:pgSz w:w="15840" w:h="12240"/>
          <w:pgMar w:top="1040" w:right="1327" w:bottom="897" w:left="1327" w:header="0" w:footer="724" w:gutter="0"/>
          <w:cols w:space="720" w:num="1"/>
        </w:sectPr>
      </w:pPr>
    </w:p>
    <w:p>
      <w:pPr>
        <w:spacing w:before="12"/>
      </w:pPr>
    </w:p>
    <w:p>
      <w:pPr>
        <w:spacing w:before="12"/>
      </w:pPr>
    </w:p>
    <w:p>
      <w:pPr>
        <w:spacing w:before="11"/>
      </w:pPr>
    </w:p>
    <w:tbl>
      <w:tblPr>
        <w:tblStyle w:val="5"/>
        <w:tblW w:w="13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763"/>
        <w:gridCol w:w="4363"/>
        <w:gridCol w:w="4513"/>
        <w:gridCol w:w="450"/>
        <w:gridCol w:w="1139"/>
        <w:gridCol w:w="1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58" w:type="dxa"/>
            <w:textDirection w:val="tbRlV"/>
            <w:vAlign w:val="top"/>
          </w:tcPr>
          <w:p>
            <w:pPr>
              <w:spacing w:before="174"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63" w:type="dxa"/>
            <w:vAlign w:val="top"/>
          </w:tcPr>
          <w:p>
            <w:pPr>
              <w:spacing w:before="37" w:line="234" w:lineRule="auto"/>
              <w:ind w:left="174" w:right="17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3" w:type="dxa"/>
            <w:vAlign w:val="top"/>
          </w:tcPr>
          <w:p>
            <w:pPr>
              <w:spacing w:before="171" w:line="231" w:lineRule="auto"/>
              <w:ind w:left="1762"/>
              <w:rPr>
                <w:rFonts w:ascii="黑体" w:hAnsi="黑体" w:eastAsia="黑体" w:cs="黑体"/>
                <w:sz w:val="20"/>
                <w:szCs w:val="20"/>
              </w:rPr>
            </w:pPr>
            <w:r>
              <w:rPr>
                <w:rFonts w:ascii="黑体" w:hAnsi="黑体" w:eastAsia="黑体" w:cs="黑体"/>
                <w:spacing w:val="7"/>
                <w:sz w:val="20"/>
                <w:szCs w:val="20"/>
              </w:rPr>
              <w:t>核查内容</w:t>
            </w:r>
          </w:p>
        </w:tc>
        <w:tc>
          <w:tcPr>
            <w:tcW w:w="4963" w:type="dxa"/>
            <w:gridSpan w:val="2"/>
            <w:vAlign w:val="top"/>
          </w:tcPr>
          <w:p>
            <w:pPr>
              <w:spacing w:before="171" w:line="230" w:lineRule="auto"/>
              <w:ind w:left="2065"/>
              <w:rPr>
                <w:rFonts w:ascii="黑体" w:hAnsi="黑体" w:eastAsia="黑体" w:cs="黑体"/>
                <w:sz w:val="20"/>
                <w:szCs w:val="20"/>
              </w:rPr>
            </w:pPr>
            <w:r>
              <w:rPr>
                <w:rFonts w:ascii="黑体" w:hAnsi="黑体" w:eastAsia="黑体" w:cs="黑体"/>
                <w:spacing w:val="7"/>
                <w:sz w:val="20"/>
                <w:szCs w:val="20"/>
              </w:rPr>
              <w:t>评分标准</w:t>
            </w:r>
          </w:p>
        </w:tc>
        <w:tc>
          <w:tcPr>
            <w:tcW w:w="1139" w:type="dxa"/>
            <w:vAlign w:val="top"/>
          </w:tcPr>
          <w:p>
            <w:pPr>
              <w:spacing w:before="171" w:line="231" w:lineRule="auto"/>
              <w:ind w:left="154"/>
              <w:rPr>
                <w:rFonts w:ascii="黑体" w:hAnsi="黑体" w:eastAsia="黑体" w:cs="黑体"/>
                <w:sz w:val="20"/>
                <w:szCs w:val="20"/>
              </w:rPr>
            </w:pPr>
            <w:r>
              <w:rPr>
                <w:rFonts w:ascii="黑体" w:hAnsi="黑体" w:eastAsia="黑体" w:cs="黑体"/>
                <w:spacing w:val="7"/>
                <w:sz w:val="20"/>
                <w:szCs w:val="20"/>
              </w:rPr>
              <w:t>核查得分</w:t>
            </w:r>
          </w:p>
        </w:tc>
        <w:tc>
          <w:tcPr>
            <w:tcW w:w="1394" w:type="dxa"/>
            <w:vAlign w:val="top"/>
          </w:tcPr>
          <w:p>
            <w:pPr>
              <w:spacing w:before="171" w:line="230" w:lineRule="auto"/>
              <w:ind w:left="280"/>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8" w:type="dxa"/>
            <w:vAlign w:val="top"/>
          </w:tcPr>
          <w:p>
            <w:pPr>
              <w:rPr>
                <w:rFonts w:ascii="Arial"/>
                <w:sz w:val="21"/>
              </w:rPr>
            </w:pPr>
          </w:p>
        </w:tc>
        <w:tc>
          <w:tcPr>
            <w:tcW w:w="763" w:type="dxa"/>
            <w:vAlign w:val="top"/>
          </w:tcPr>
          <w:p>
            <w:pPr>
              <w:rPr>
                <w:rFonts w:ascii="Arial"/>
                <w:sz w:val="21"/>
              </w:rPr>
            </w:pPr>
          </w:p>
        </w:tc>
        <w:tc>
          <w:tcPr>
            <w:tcW w:w="4363" w:type="dxa"/>
            <w:vAlign w:val="top"/>
          </w:tcPr>
          <w:p>
            <w:pPr>
              <w:rPr>
                <w:rFonts w:ascii="Arial"/>
                <w:sz w:val="21"/>
              </w:rPr>
            </w:pPr>
          </w:p>
        </w:tc>
        <w:tc>
          <w:tcPr>
            <w:tcW w:w="4513" w:type="dxa"/>
            <w:vAlign w:val="top"/>
          </w:tcPr>
          <w:p>
            <w:pPr>
              <w:pStyle w:val="6"/>
              <w:spacing w:before="30" w:line="218" w:lineRule="auto"/>
              <w:ind w:left="110"/>
            </w:pPr>
            <w:r>
              <w:rPr>
                <w:spacing w:val="7"/>
              </w:rPr>
              <w:t>存在严重缺陷。</w:t>
            </w:r>
          </w:p>
        </w:tc>
        <w:tc>
          <w:tcPr>
            <w:tcW w:w="450" w:type="dxa"/>
            <w:vAlign w:val="top"/>
          </w:tcPr>
          <w:p>
            <w:pPr>
              <w:rPr>
                <w:rFonts w:ascii="Arial"/>
                <w:sz w:val="21"/>
              </w:rPr>
            </w:pP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8"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58" w:line="195" w:lineRule="auto"/>
              <w:ind w:left="16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1.3</w:t>
            </w:r>
          </w:p>
        </w:tc>
        <w:tc>
          <w:tcPr>
            <w:tcW w:w="763"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5" w:line="239" w:lineRule="auto"/>
              <w:ind w:left="180" w:right="173" w:hanging="9"/>
            </w:pPr>
            <w:r>
              <w:rPr>
                <w:spacing w:val="6"/>
              </w:rPr>
              <w:t>库房</w:t>
            </w:r>
            <w:r>
              <w:t xml:space="preserve"> </w:t>
            </w:r>
            <w:r>
              <w:rPr>
                <w:spacing w:val="1"/>
              </w:rPr>
              <w:t>要求</w:t>
            </w:r>
          </w:p>
        </w:tc>
        <w:tc>
          <w:tcPr>
            <w:tcW w:w="4363" w:type="dxa"/>
            <w:vMerge w:val="restart"/>
            <w:tcBorders>
              <w:bottom w:val="nil"/>
            </w:tcBorders>
            <w:vAlign w:val="top"/>
          </w:tcPr>
          <w:p>
            <w:pPr>
              <w:pStyle w:val="6"/>
              <w:spacing w:before="178" w:line="248" w:lineRule="auto"/>
              <w:ind w:left="106" w:right="54" w:firstLine="19"/>
            </w:pPr>
            <w:r>
              <w:rPr>
                <w:rFonts w:ascii="Times New Roman" w:hAnsi="Times New Roman" w:eastAsia="Times New Roman" w:cs="Times New Roman"/>
                <w:spacing w:val="1"/>
              </w:rPr>
              <w:t>1.</w:t>
            </w:r>
            <w:r>
              <w:rPr>
                <w:spacing w:val="1"/>
              </w:rPr>
              <w:t>应当与所生产产品的数量、贮存要求相适应，</w:t>
            </w:r>
            <w:r>
              <w:rPr>
                <w:spacing w:val="3"/>
              </w:rPr>
              <w:t xml:space="preserve"> </w:t>
            </w:r>
            <w:r>
              <w:rPr>
                <w:spacing w:val="7"/>
              </w:rPr>
              <w:t>与《食品添加剂生产加工场所平面图》《食品</w:t>
            </w:r>
            <w:r>
              <w:rPr>
                <w:spacing w:val="1"/>
              </w:rPr>
              <w:t xml:space="preserve"> </w:t>
            </w:r>
            <w:r>
              <w:rPr>
                <w:spacing w:val="9"/>
              </w:rPr>
              <w:t xml:space="preserve">添加剂生产加工场所各功能区间布局平面图》 </w:t>
            </w:r>
            <w:r>
              <w:rPr>
                <w:spacing w:val="7"/>
              </w:rPr>
              <w:t>中标注的库房一致。库房整洁，地面平整，易</w:t>
            </w:r>
            <w:r>
              <w:rPr>
                <w:spacing w:val="4"/>
              </w:rPr>
              <w:t xml:space="preserve"> </w:t>
            </w:r>
            <w:r>
              <w:rPr>
                <w:spacing w:val="7"/>
              </w:rPr>
              <w:t>于维护、清洁，防止虫害侵入和藏匿。必要时</w:t>
            </w:r>
            <w:r>
              <w:rPr>
                <w:spacing w:val="3"/>
              </w:rPr>
              <w:t xml:space="preserve"> </w:t>
            </w:r>
            <w:r>
              <w:rPr>
                <w:spacing w:val="9"/>
              </w:rPr>
              <w:t>库房应当设置相适应的温度、湿度控制等设</w:t>
            </w:r>
            <w:r>
              <w:rPr>
                <w:spacing w:val="4"/>
              </w:rPr>
              <w:t xml:space="preserve">   </w:t>
            </w:r>
            <w:r>
              <w:rPr>
                <w:spacing w:val="2"/>
              </w:rPr>
              <w:t>施。</w:t>
            </w:r>
          </w:p>
        </w:tc>
        <w:tc>
          <w:tcPr>
            <w:tcW w:w="4513" w:type="dxa"/>
            <w:vAlign w:val="top"/>
          </w:tcPr>
          <w:p>
            <w:pPr>
              <w:pStyle w:val="6"/>
              <w:spacing w:before="31" w:line="217" w:lineRule="auto"/>
              <w:ind w:left="118"/>
            </w:pPr>
            <w:r>
              <w:rPr>
                <w:spacing w:val="6"/>
              </w:rPr>
              <w:t>符合规定要求。</w:t>
            </w:r>
          </w:p>
        </w:tc>
        <w:tc>
          <w:tcPr>
            <w:tcW w:w="450" w:type="dxa"/>
            <w:vAlign w:val="top"/>
          </w:tcPr>
          <w:p>
            <w:pPr>
              <w:spacing w:before="67"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13" w:type="dxa"/>
            <w:vAlign w:val="top"/>
          </w:tcPr>
          <w:p>
            <w:pPr>
              <w:pStyle w:val="6"/>
              <w:spacing w:before="34" w:line="233" w:lineRule="auto"/>
              <w:ind w:left="108" w:right="725" w:firstLine="20"/>
            </w:pPr>
            <w:r>
              <w:rPr>
                <w:rFonts w:ascii="Times New Roman" w:hAnsi="Times New Roman" w:eastAsia="Times New Roman" w:cs="Times New Roman"/>
                <w:spacing w:val="5"/>
              </w:rPr>
              <w:t>1.</w:t>
            </w:r>
            <w:r>
              <w:rPr>
                <w:spacing w:val="5"/>
              </w:rPr>
              <w:t>库房整洁程度或者相关设施略有不足。</w:t>
            </w:r>
            <w:r>
              <w:rPr>
                <w:spacing w:val="7"/>
              </w:rPr>
              <w:t xml:space="preserve"> </w:t>
            </w:r>
            <w:r>
              <w:rPr>
                <w:rFonts w:ascii="Times New Roman" w:hAnsi="Times New Roman" w:eastAsia="Times New Roman" w:cs="Times New Roman"/>
                <w:spacing w:val="8"/>
              </w:rPr>
              <w:t>2.</w:t>
            </w:r>
            <w:r>
              <w:rPr>
                <w:spacing w:val="8"/>
              </w:rPr>
              <w:t>实际库房与平面图标注不一致。</w:t>
            </w:r>
          </w:p>
        </w:tc>
        <w:tc>
          <w:tcPr>
            <w:tcW w:w="450" w:type="dxa"/>
            <w:vAlign w:val="top"/>
          </w:tcPr>
          <w:p>
            <w:pPr>
              <w:spacing w:before="205"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pStyle w:val="6"/>
              <w:spacing w:before="34" w:line="225" w:lineRule="auto"/>
              <w:ind w:left="129"/>
            </w:pPr>
            <w:r>
              <w:rPr>
                <w:rFonts w:ascii="Times New Roman" w:hAnsi="Times New Roman" w:eastAsia="Times New Roman" w:cs="Times New Roman"/>
                <w:spacing w:val="7"/>
              </w:rPr>
              <w:t>1.</w:t>
            </w:r>
            <w:r>
              <w:rPr>
                <w:spacing w:val="7"/>
              </w:rPr>
              <w:t>库房不整洁，顶棚、墙壁、地面破损严重。</w:t>
            </w:r>
          </w:p>
          <w:p>
            <w:pPr>
              <w:pStyle w:val="6"/>
              <w:spacing w:before="26" w:line="238" w:lineRule="auto"/>
              <w:ind w:left="118" w:right="104" w:hanging="10"/>
            </w:pPr>
            <w:r>
              <w:rPr>
                <w:rFonts w:ascii="Times New Roman" w:hAnsi="Times New Roman" w:eastAsia="Times New Roman" w:cs="Times New Roman"/>
                <w:spacing w:val="6"/>
              </w:rPr>
              <w:t>2.</w:t>
            </w:r>
            <w:r>
              <w:rPr>
                <w:spacing w:val="6"/>
              </w:rPr>
              <w:t>库房种类、面积或贮存条件、防护措施不满足</w:t>
            </w:r>
            <w:r>
              <w:rPr>
                <w:spacing w:val="11"/>
              </w:rPr>
              <w:t xml:space="preserve"> </w:t>
            </w:r>
            <w:r>
              <w:rPr>
                <w:spacing w:val="6"/>
              </w:rPr>
              <w:t>物料存储需求。</w:t>
            </w:r>
          </w:p>
          <w:p>
            <w:pPr>
              <w:pStyle w:val="6"/>
              <w:spacing w:before="33" w:line="232" w:lineRule="auto"/>
              <w:ind w:left="113" w:right="104"/>
            </w:pPr>
            <w:r>
              <w:rPr>
                <w:rFonts w:ascii="Times New Roman" w:hAnsi="Times New Roman" w:eastAsia="Times New Roman" w:cs="Times New Roman"/>
                <w:spacing w:val="6"/>
              </w:rPr>
              <w:t>3.</w:t>
            </w:r>
            <w:r>
              <w:rPr>
                <w:spacing w:val="6"/>
              </w:rPr>
              <w:t xml:space="preserve">库房缺少必要的虫害防控或温度、湿度控制设 </w:t>
            </w:r>
            <w:r>
              <w:t>施。</w:t>
            </w:r>
          </w:p>
        </w:tc>
        <w:tc>
          <w:tcPr>
            <w:tcW w:w="450" w:type="dxa"/>
            <w:vAlign w:val="top"/>
          </w:tcPr>
          <w:p>
            <w:pPr>
              <w:spacing w:line="276" w:lineRule="auto"/>
              <w:rPr>
                <w:rFonts w:ascii="Arial"/>
                <w:sz w:val="21"/>
              </w:rPr>
            </w:pPr>
          </w:p>
          <w:p>
            <w:pPr>
              <w:spacing w:line="276" w:lineRule="auto"/>
              <w:rPr>
                <w:rFonts w:ascii="Arial"/>
                <w:sz w:val="21"/>
              </w:rPr>
            </w:pPr>
          </w:p>
          <w:p>
            <w:pPr>
              <w:spacing w:before="58"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65" w:line="247" w:lineRule="auto"/>
              <w:ind w:left="107" w:right="102" w:hanging="1"/>
              <w:jc w:val="both"/>
            </w:pPr>
            <w:r>
              <w:rPr>
                <w:rFonts w:ascii="Times New Roman" w:hAnsi="Times New Roman" w:eastAsia="Times New Roman" w:cs="Times New Roman"/>
                <w:spacing w:val="9"/>
              </w:rPr>
              <w:t>2.</w:t>
            </w:r>
            <w:r>
              <w:rPr>
                <w:spacing w:val="9"/>
              </w:rPr>
              <w:t>原料、半成品、成品、包装材料等应当依据</w:t>
            </w:r>
            <w:r>
              <w:rPr>
                <w:spacing w:val="2"/>
              </w:rPr>
              <w:t xml:space="preserve"> </w:t>
            </w:r>
            <w:r>
              <w:rPr>
                <w:spacing w:val="7"/>
              </w:rPr>
              <w:t>性质的不同分设库房或分区存放。清洁剂、消</w:t>
            </w:r>
            <w:r>
              <w:rPr>
                <w:spacing w:val="3"/>
              </w:rPr>
              <w:t xml:space="preserve"> </w:t>
            </w:r>
            <w:r>
              <w:rPr>
                <w:spacing w:val="7"/>
              </w:rPr>
              <w:t>毒剂、杀虫剂、润滑剂、燃料等物料应当分别</w:t>
            </w:r>
            <w:r>
              <w:rPr>
                <w:spacing w:val="3"/>
              </w:rPr>
              <w:t xml:space="preserve"> </w:t>
            </w:r>
            <w:r>
              <w:rPr>
                <w:spacing w:val="7"/>
              </w:rPr>
              <w:t>安全包装，与原料、半成品、成品、包装材料</w:t>
            </w:r>
            <w:r>
              <w:t xml:space="preserve"> </w:t>
            </w:r>
            <w:r>
              <w:rPr>
                <w:spacing w:val="7"/>
              </w:rPr>
              <w:t>等分隔放置。库房内的物料应当与墙壁、地面</w:t>
            </w:r>
            <w:r>
              <w:t xml:space="preserve"> </w:t>
            </w:r>
            <w:r>
              <w:rPr>
                <w:spacing w:val="7"/>
              </w:rPr>
              <w:t>保持适当距离，并明确标识，防止交叉污染。</w:t>
            </w:r>
          </w:p>
        </w:tc>
        <w:tc>
          <w:tcPr>
            <w:tcW w:w="4513" w:type="dxa"/>
            <w:vAlign w:val="top"/>
          </w:tcPr>
          <w:p>
            <w:pPr>
              <w:pStyle w:val="6"/>
              <w:spacing w:before="33" w:line="216" w:lineRule="auto"/>
              <w:ind w:left="118"/>
            </w:pPr>
            <w:r>
              <w:rPr>
                <w:spacing w:val="6"/>
              </w:rPr>
              <w:t>符合规定要求。</w:t>
            </w:r>
          </w:p>
        </w:tc>
        <w:tc>
          <w:tcPr>
            <w:tcW w:w="450" w:type="dxa"/>
            <w:vAlign w:val="top"/>
          </w:tcPr>
          <w:p>
            <w:pPr>
              <w:spacing w:before="68"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58" w:type="dxa"/>
            <w:vMerge w:val="continue"/>
            <w:tcBorders>
              <w:top w:val="nil"/>
              <w:bottom w:val="nil"/>
            </w:tcBorders>
            <w:vAlign w:val="top"/>
          </w:tcPr>
          <w:p>
            <w:pPr>
              <w:rPr>
                <w:rFonts w:ascii="Arial"/>
                <w:sz w:val="21"/>
              </w:rPr>
            </w:pPr>
          </w:p>
        </w:tc>
        <w:tc>
          <w:tcPr>
            <w:tcW w:w="763"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13" w:type="dxa"/>
            <w:vAlign w:val="top"/>
          </w:tcPr>
          <w:p>
            <w:pPr>
              <w:pStyle w:val="6"/>
              <w:spacing w:before="33" w:line="223" w:lineRule="auto"/>
              <w:ind w:left="129"/>
            </w:pPr>
            <w:r>
              <w:rPr>
                <w:rFonts w:ascii="Times New Roman" w:hAnsi="Times New Roman" w:eastAsia="Times New Roman" w:cs="Times New Roman"/>
                <w:spacing w:val="7"/>
              </w:rPr>
              <w:t>1.</w:t>
            </w:r>
            <w:r>
              <w:rPr>
                <w:spacing w:val="7"/>
              </w:rPr>
              <w:t>个别批次物料未分库或分区存放。</w:t>
            </w:r>
          </w:p>
          <w:p>
            <w:pPr>
              <w:pStyle w:val="6"/>
              <w:spacing w:before="32" w:line="232" w:lineRule="auto"/>
              <w:ind w:left="112" w:right="516" w:hanging="4"/>
            </w:pPr>
            <w:r>
              <w:rPr>
                <w:rFonts w:ascii="Times New Roman" w:hAnsi="Times New Roman" w:eastAsia="Times New Roman" w:cs="Times New Roman"/>
                <w:spacing w:val="6"/>
              </w:rPr>
              <w:t>2.</w:t>
            </w:r>
            <w:r>
              <w:rPr>
                <w:spacing w:val="6"/>
              </w:rPr>
              <w:t>个别批次物料存放不符合离墙离地要求。</w:t>
            </w:r>
            <w:r>
              <w:rPr>
                <w:spacing w:val="11"/>
              </w:rPr>
              <w:t xml:space="preserve"> </w:t>
            </w:r>
            <w:r>
              <w:rPr>
                <w:rFonts w:ascii="Times New Roman" w:hAnsi="Times New Roman" w:eastAsia="Times New Roman" w:cs="Times New Roman"/>
                <w:spacing w:val="7"/>
              </w:rPr>
              <w:t>3.</w:t>
            </w:r>
            <w:r>
              <w:rPr>
                <w:spacing w:val="7"/>
              </w:rPr>
              <w:t>个别批次物料标识不规范。</w:t>
            </w:r>
          </w:p>
        </w:tc>
        <w:tc>
          <w:tcPr>
            <w:tcW w:w="450" w:type="dxa"/>
            <w:vAlign w:val="top"/>
          </w:tcPr>
          <w:p>
            <w:pPr>
              <w:spacing w:line="283" w:lineRule="auto"/>
              <w:rPr>
                <w:rFonts w:ascii="Arial"/>
                <w:sz w:val="21"/>
              </w:rPr>
            </w:pPr>
          </w:p>
          <w:p>
            <w:pPr>
              <w:spacing w:before="58" w:line="195" w:lineRule="auto"/>
              <w:ind w:left="1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3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558"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13" w:type="dxa"/>
            <w:vAlign w:val="top"/>
          </w:tcPr>
          <w:p>
            <w:pPr>
              <w:spacing w:line="282" w:lineRule="auto"/>
              <w:rPr>
                <w:rFonts w:ascii="Arial"/>
                <w:sz w:val="21"/>
              </w:rPr>
            </w:pPr>
          </w:p>
          <w:p>
            <w:pPr>
              <w:pStyle w:val="6"/>
              <w:spacing w:before="65" w:line="245" w:lineRule="auto"/>
              <w:ind w:left="113" w:right="205" w:firstLine="15"/>
              <w:jc w:val="both"/>
            </w:pPr>
            <w:r>
              <w:rPr>
                <w:rFonts w:ascii="Times New Roman" w:hAnsi="Times New Roman" w:eastAsia="Times New Roman" w:cs="Times New Roman"/>
                <w:spacing w:val="8"/>
              </w:rPr>
              <w:t>1.</w:t>
            </w:r>
            <w:r>
              <w:rPr>
                <w:spacing w:val="8"/>
              </w:rPr>
              <w:t>物料未按规定分库或分区存放现象普遍，原</w:t>
            </w:r>
            <w:r>
              <w:rPr>
                <w:spacing w:val="1"/>
              </w:rPr>
              <w:t xml:space="preserve"> </w:t>
            </w:r>
            <w:r>
              <w:rPr>
                <w:spacing w:val="9"/>
              </w:rPr>
              <w:t>料、半成品、成品、包装材料等与清洁剂、消</w:t>
            </w:r>
            <w:r>
              <w:rPr>
                <w:spacing w:val="7"/>
              </w:rPr>
              <w:t xml:space="preserve"> </w:t>
            </w:r>
            <w:r>
              <w:rPr>
                <w:spacing w:val="9"/>
              </w:rPr>
              <w:t>毒剂、杀虫剂、润滑剂、燃料等物料未分隔存</w:t>
            </w:r>
            <w:r>
              <w:rPr>
                <w:spacing w:val="7"/>
              </w:rPr>
              <w:t xml:space="preserve"> </w:t>
            </w:r>
            <w:r>
              <w:t>放。</w:t>
            </w:r>
          </w:p>
          <w:p>
            <w:pPr>
              <w:pStyle w:val="6"/>
              <w:spacing w:before="26" w:line="223" w:lineRule="auto"/>
              <w:ind w:left="108"/>
            </w:pPr>
            <w:r>
              <w:rPr>
                <w:rFonts w:ascii="Times New Roman" w:hAnsi="Times New Roman" w:eastAsia="Times New Roman" w:cs="Times New Roman"/>
                <w:spacing w:val="8"/>
              </w:rPr>
              <w:t>2.</w:t>
            </w:r>
            <w:r>
              <w:rPr>
                <w:spacing w:val="8"/>
              </w:rPr>
              <w:t>物料不离墙离地存放的现象普遍。</w:t>
            </w:r>
          </w:p>
          <w:p>
            <w:pPr>
              <w:pStyle w:val="6"/>
              <w:spacing w:before="29" w:line="238" w:lineRule="auto"/>
              <w:ind w:left="107" w:right="46" w:firstLine="5"/>
            </w:pPr>
            <w:r>
              <w:rPr>
                <w:rFonts w:ascii="Times New Roman" w:hAnsi="Times New Roman" w:eastAsia="Times New Roman" w:cs="Times New Roman"/>
              </w:rPr>
              <w:t>3.</w:t>
            </w:r>
            <w:r>
              <w:t>物料无标识或标识混乱，存在误用、错用</w:t>
            </w:r>
            <w:r>
              <w:rPr>
                <w:spacing w:val="-1"/>
              </w:rPr>
              <w:t>风险。</w:t>
            </w:r>
            <w:r>
              <w:t xml:space="preserve"> </w:t>
            </w:r>
            <w:r>
              <w:rPr>
                <w:rFonts w:ascii="Times New Roman" w:hAnsi="Times New Roman" w:eastAsia="Times New Roman" w:cs="Times New Roman"/>
                <w:spacing w:val="8"/>
              </w:rPr>
              <w:t>4.</w:t>
            </w:r>
            <w:r>
              <w:rPr>
                <w:spacing w:val="8"/>
              </w:rPr>
              <w:t>危险化学品无专用仓库、罐区、贮存场所。</w:t>
            </w:r>
          </w:p>
        </w:tc>
        <w:tc>
          <w:tcPr>
            <w:tcW w:w="450"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57" w:line="195" w:lineRule="auto"/>
              <w:ind w:left="1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394" w:type="dxa"/>
            <w:vAlign w:val="top"/>
          </w:tcPr>
          <w:p>
            <w:pPr>
              <w:rPr>
                <w:rFonts w:ascii="Arial"/>
                <w:sz w:val="21"/>
              </w:rPr>
            </w:pPr>
          </w:p>
        </w:tc>
      </w:tr>
    </w:tbl>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100" w:line="227" w:lineRule="auto"/>
        <w:ind w:left="5091"/>
        <w:outlineLvl w:val="0"/>
        <w:rPr>
          <w:rFonts w:ascii="黑体" w:hAnsi="黑体" w:eastAsia="黑体" w:cs="黑体"/>
          <w:sz w:val="31"/>
          <w:szCs w:val="31"/>
        </w:rPr>
      </w:pPr>
      <w:r>
        <w:rPr>
          <w:rFonts w:ascii="黑体" w:hAnsi="黑体" w:eastAsia="黑体" w:cs="黑体"/>
          <w:spacing w:val="3"/>
          <w:sz w:val="31"/>
          <w:szCs w:val="31"/>
        </w:rPr>
        <w:t>二、设备设施（共</w:t>
      </w:r>
      <w:r>
        <w:rPr>
          <w:rFonts w:ascii="黑体" w:hAnsi="黑体" w:eastAsia="黑体" w:cs="黑体"/>
          <w:spacing w:val="-53"/>
          <w:sz w:val="31"/>
          <w:szCs w:val="31"/>
        </w:rPr>
        <w:t xml:space="preserve"> </w:t>
      </w:r>
      <w:r>
        <w:rPr>
          <w:rFonts w:ascii="Times New Roman" w:hAnsi="Times New Roman" w:eastAsia="Times New Roman" w:cs="Times New Roman"/>
          <w:spacing w:val="3"/>
          <w:sz w:val="31"/>
          <w:szCs w:val="31"/>
        </w:rPr>
        <w:t>36</w:t>
      </w:r>
      <w:r>
        <w:rPr>
          <w:rFonts w:ascii="Times New Roman" w:hAnsi="Times New Roman" w:eastAsia="Times New Roman" w:cs="Times New Roman"/>
          <w:spacing w:val="23"/>
          <w:sz w:val="31"/>
          <w:szCs w:val="31"/>
        </w:rPr>
        <w:t xml:space="preserve"> </w:t>
      </w:r>
      <w:r>
        <w:rPr>
          <w:rFonts w:ascii="黑体" w:hAnsi="黑体" w:eastAsia="黑体" w:cs="黑体"/>
          <w:spacing w:val="3"/>
          <w:sz w:val="31"/>
          <w:szCs w:val="31"/>
        </w:rPr>
        <w:t>分）</w:t>
      </w:r>
    </w:p>
    <w:p>
      <w:pPr>
        <w:spacing w:line="227" w:lineRule="auto"/>
        <w:rPr>
          <w:rFonts w:ascii="黑体" w:hAnsi="黑体" w:eastAsia="黑体" w:cs="黑体"/>
          <w:sz w:val="31"/>
          <w:szCs w:val="31"/>
        </w:rPr>
        <w:sectPr>
          <w:footerReference r:id="rId40" w:type="default"/>
          <w:pgSz w:w="15840" w:h="12240"/>
          <w:pgMar w:top="1040" w:right="1327" w:bottom="897" w:left="1327" w:header="0" w:footer="724" w:gutter="0"/>
          <w:cols w:space="720" w:num="1"/>
        </w:sectPr>
      </w:pPr>
    </w:p>
    <w:p>
      <w:pPr>
        <w:spacing w:before="12"/>
      </w:pPr>
    </w:p>
    <w:p>
      <w:pPr>
        <w:spacing w:before="12"/>
      </w:pPr>
    </w:p>
    <w:p>
      <w:pPr>
        <w:spacing w:before="11"/>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735"/>
        <w:gridCol w:w="4365"/>
        <w:gridCol w:w="4528"/>
        <w:gridCol w:w="451"/>
        <w:gridCol w:w="1109"/>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84" w:type="dxa"/>
            <w:textDirection w:val="tbRlV"/>
            <w:vAlign w:val="top"/>
          </w:tcPr>
          <w:p>
            <w:pPr>
              <w:spacing w:before="185"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7" w:line="234" w:lineRule="auto"/>
              <w:ind w:left="160" w:right="159"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5" w:type="dxa"/>
            <w:vAlign w:val="top"/>
          </w:tcPr>
          <w:p>
            <w:pPr>
              <w:spacing w:before="171" w:line="231" w:lineRule="auto"/>
              <w:ind w:left="1764"/>
              <w:rPr>
                <w:rFonts w:ascii="黑体" w:hAnsi="黑体" w:eastAsia="黑体" w:cs="黑体"/>
                <w:sz w:val="20"/>
                <w:szCs w:val="20"/>
              </w:rPr>
            </w:pPr>
            <w:r>
              <w:rPr>
                <w:rFonts w:ascii="黑体" w:hAnsi="黑体" w:eastAsia="黑体" w:cs="黑体"/>
                <w:spacing w:val="7"/>
                <w:sz w:val="20"/>
                <w:szCs w:val="20"/>
              </w:rPr>
              <w:t>核查内容</w:t>
            </w:r>
          </w:p>
        </w:tc>
        <w:tc>
          <w:tcPr>
            <w:tcW w:w="4979" w:type="dxa"/>
            <w:gridSpan w:val="2"/>
            <w:vAlign w:val="top"/>
          </w:tcPr>
          <w:p>
            <w:pPr>
              <w:spacing w:before="171" w:line="230" w:lineRule="auto"/>
              <w:ind w:left="2075"/>
              <w:rPr>
                <w:rFonts w:ascii="黑体" w:hAnsi="黑体" w:eastAsia="黑体" w:cs="黑体"/>
                <w:sz w:val="20"/>
                <w:szCs w:val="20"/>
              </w:rPr>
            </w:pPr>
            <w:r>
              <w:rPr>
                <w:rFonts w:ascii="黑体" w:hAnsi="黑体" w:eastAsia="黑体" w:cs="黑体"/>
                <w:spacing w:val="7"/>
                <w:sz w:val="20"/>
                <w:szCs w:val="20"/>
              </w:rPr>
              <w:t>评分标准</w:t>
            </w:r>
          </w:p>
        </w:tc>
        <w:tc>
          <w:tcPr>
            <w:tcW w:w="1109" w:type="dxa"/>
            <w:vAlign w:val="top"/>
          </w:tcPr>
          <w:p>
            <w:pPr>
              <w:spacing w:before="171" w:line="231" w:lineRule="auto"/>
              <w:ind w:left="140"/>
              <w:rPr>
                <w:rFonts w:ascii="黑体" w:hAnsi="黑体" w:eastAsia="黑体" w:cs="黑体"/>
                <w:sz w:val="20"/>
                <w:szCs w:val="20"/>
              </w:rPr>
            </w:pPr>
            <w:r>
              <w:rPr>
                <w:rFonts w:ascii="黑体" w:hAnsi="黑体" w:eastAsia="黑体" w:cs="黑体"/>
                <w:spacing w:val="7"/>
                <w:sz w:val="20"/>
                <w:szCs w:val="20"/>
              </w:rPr>
              <w:t>核查得分</w:t>
            </w:r>
          </w:p>
        </w:tc>
        <w:tc>
          <w:tcPr>
            <w:tcW w:w="1403" w:type="dxa"/>
            <w:vAlign w:val="top"/>
          </w:tcPr>
          <w:p>
            <w:pPr>
              <w:spacing w:before="171" w:line="230" w:lineRule="auto"/>
              <w:ind w:left="28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8" w:line="195" w:lineRule="auto"/>
              <w:ind w:left="16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73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39" w:lineRule="auto"/>
              <w:ind w:left="160" w:right="159" w:firstLine="13"/>
            </w:pPr>
            <w:r>
              <w:rPr>
                <w:spacing w:val="-2"/>
              </w:rPr>
              <w:t>生产</w:t>
            </w:r>
            <w:r>
              <w:t xml:space="preserve"> </w:t>
            </w:r>
            <w:r>
              <w:rPr>
                <w:spacing w:val="4"/>
              </w:rPr>
              <w:t>设备</w:t>
            </w:r>
          </w:p>
        </w:tc>
        <w:tc>
          <w:tcPr>
            <w:tcW w:w="4365"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5" w:line="243" w:lineRule="auto"/>
              <w:ind w:left="117" w:right="106" w:firstLine="11"/>
              <w:jc w:val="both"/>
            </w:pPr>
            <w:r>
              <w:rPr>
                <w:rFonts w:ascii="Times New Roman" w:hAnsi="Times New Roman" w:eastAsia="Times New Roman" w:cs="Times New Roman"/>
                <w:spacing w:val="8"/>
              </w:rPr>
              <w:t>1.</w:t>
            </w:r>
            <w:r>
              <w:rPr>
                <w:spacing w:val="8"/>
              </w:rPr>
              <w:t>应当配备与生产的产品品种、数量相适应的</w:t>
            </w:r>
            <w:r>
              <w:rPr>
                <w:spacing w:val="1"/>
              </w:rPr>
              <w:t xml:space="preserve"> </w:t>
            </w:r>
            <w:r>
              <w:rPr>
                <w:spacing w:val="6"/>
              </w:rPr>
              <w:t>生产设备，设备的性能和精度应当满足生产加</w:t>
            </w:r>
            <w:r>
              <w:rPr>
                <w:spacing w:val="15"/>
              </w:rPr>
              <w:t xml:space="preserve"> </w:t>
            </w:r>
            <w:r>
              <w:rPr>
                <w:spacing w:val="4"/>
              </w:rPr>
              <w:t>工的要求。</w:t>
            </w:r>
          </w:p>
        </w:tc>
        <w:tc>
          <w:tcPr>
            <w:tcW w:w="4528" w:type="dxa"/>
            <w:vAlign w:val="top"/>
          </w:tcPr>
          <w:p>
            <w:pPr>
              <w:pStyle w:val="6"/>
              <w:spacing w:before="30" w:line="218" w:lineRule="auto"/>
              <w:ind w:left="118"/>
            </w:pPr>
            <w:r>
              <w:rPr>
                <w:spacing w:val="6"/>
              </w:rPr>
              <w:t>符合规定要求。</w:t>
            </w:r>
          </w:p>
        </w:tc>
        <w:tc>
          <w:tcPr>
            <w:tcW w:w="451" w:type="dxa"/>
            <w:vAlign w:val="top"/>
          </w:tcPr>
          <w:p>
            <w:pPr>
              <w:spacing w:before="66"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164" w:line="238" w:lineRule="auto"/>
              <w:ind w:left="112" w:right="105" w:firstLine="16"/>
            </w:pPr>
            <w:r>
              <w:rPr>
                <w:rFonts w:ascii="Times New Roman" w:hAnsi="Times New Roman" w:eastAsia="Times New Roman" w:cs="Times New Roman"/>
                <w:spacing w:val="6"/>
              </w:rPr>
              <w:t>1.</w:t>
            </w:r>
            <w:r>
              <w:rPr>
                <w:spacing w:val="6"/>
              </w:rPr>
              <w:t>具备满足产品的生产工艺所需的设备，但个别</w:t>
            </w:r>
            <w:r>
              <w:rPr>
                <w:spacing w:val="5"/>
              </w:rPr>
              <w:t xml:space="preserve"> </w:t>
            </w:r>
            <w:r>
              <w:rPr>
                <w:spacing w:val="8"/>
              </w:rPr>
              <w:t>设备的性能和精度略有不足。</w:t>
            </w:r>
          </w:p>
          <w:p>
            <w:pPr>
              <w:pStyle w:val="6"/>
              <w:spacing w:before="28" w:line="238" w:lineRule="auto"/>
              <w:ind w:left="116" w:right="105" w:hanging="8"/>
            </w:pPr>
            <w:r>
              <w:rPr>
                <w:rFonts w:ascii="Times New Roman" w:hAnsi="Times New Roman" w:eastAsia="Times New Roman" w:cs="Times New Roman"/>
                <w:spacing w:val="5"/>
              </w:rPr>
              <w:t>2.</w:t>
            </w:r>
            <w:r>
              <w:rPr>
                <w:spacing w:val="5"/>
              </w:rPr>
              <w:t>使用敞开式车间的，对敞开式车间物料添加</w:t>
            </w:r>
            <w:r>
              <w:rPr>
                <w:spacing w:val="-53"/>
              </w:rPr>
              <w:t xml:space="preserve"> </w:t>
            </w:r>
            <w:r>
              <w:rPr>
                <w:spacing w:val="5"/>
              </w:rPr>
              <w:t>口</w:t>
            </w:r>
            <w:r>
              <w:t xml:space="preserve"> </w:t>
            </w:r>
            <w:r>
              <w:rPr>
                <w:spacing w:val="8"/>
              </w:rPr>
              <w:t>和产品灌装处安全防护存在瑕疵。</w:t>
            </w:r>
          </w:p>
          <w:p>
            <w:pPr>
              <w:pStyle w:val="6"/>
              <w:spacing w:before="31" w:line="236" w:lineRule="auto"/>
              <w:ind w:left="137" w:right="105" w:hanging="24"/>
            </w:pPr>
            <w:r>
              <w:rPr>
                <w:rFonts w:ascii="Times New Roman" w:hAnsi="Times New Roman" w:eastAsia="Times New Roman" w:cs="Times New Roman"/>
                <w:spacing w:val="6"/>
              </w:rPr>
              <w:t>3.</w:t>
            </w:r>
            <w:r>
              <w:rPr>
                <w:rFonts w:ascii="Times New Roman" w:hAnsi="Times New Roman" w:eastAsia="Times New Roman" w:cs="Times New Roman"/>
                <w:spacing w:val="-27"/>
              </w:rPr>
              <w:t xml:space="preserve"> </w:t>
            </w:r>
            <w:r>
              <w:rPr>
                <w:spacing w:val="6"/>
              </w:rPr>
              <w:t>与设备连接的主要固定管道，标明管内物</w:t>
            </w:r>
            <w:r>
              <w:rPr>
                <w:spacing w:val="5"/>
              </w:rPr>
              <w:t>料流</w:t>
            </w:r>
            <w:r>
              <w:t xml:space="preserve"> </w:t>
            </w:r>
            <w:r>
              <w:rPr>
                <w:spacing w:val="4"/>
              </w:rPr>
              <w:t>向等标识存在瑕疵。</w:t>
            </w:r>
          </w:p>
        </w:tc>
        <w:tc>
          <w:tcPr>
            <w:tcW w:w="451"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57"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63" w:line="225" w:lineRule="auto"/>
              <w:ind w:left="129"/>
            </w:pPr>
            <w:r>
              <w:rPr>
                <w:rFonts w:ascii="Times New Roman" w:hAnsi="Times New Roman" w:eastAsia="Times New Roman" w:cs="Times New Roman"/>
                <w:spacing w:val="7"/>
              </w:rPr>
              <w:t>1.</w:t>
            </w:r>
            <w:r>
              <w:rPr>
                <w:spacing w:val="7"/>
              </w:rPr>
              <w:t>不具备满足产品的生产工艺所需的设备。</w:t>
            </w:r>
          </w:p>
          <w:p>
            <w:pPr>
              <w:pStyle w:val="6"/>
              <w:spacing w:before="29" w:line="238" w:lineRule="auto"/>
              <w:ind w:left="120" w:right="271" w:hanging="12"/>
            </w:pPr>
            <w:r>
              <w:rPr>
                <w:rFonts w:ascii="Times New Roman" w:hAnsi="Times New Roman" w:eastAsia="Times New Roman" w:cs="Times New Roman"/>
                <w:spacing w:val="8"/>
              </w:rPr>
              <w:t>2.</w:t>
            </w:r>
            <w:r>
              <w:rPr>
                <w:rFonts w:ascii="Times New Roman" w:hAnsi="Times New Roman" w:eastAsia="Times New Roman" w:cs="Times New Roman"/>
                <w:spacing w:val="-26"/>
              </w:rPr>
              <w:t xml:space="preserve"> </w:t>
            </w:r>
            <w:r>
              <w:rPr>
                <w:spacing w:val="8"/>
              </w:rPr>
              <w:t>生产设备的数量、性能不能满足生产加工要</w:t>
            </w:r>
            <w:r>
              <w:t xml:space="preserve"> </w:t>
            </w:r>
            <w:r>
              <w:rPr>
                <w:spacing w:val="-5"/>
              </w:rPr>
              <w:t>求。</w:t>
            </w:r>
          </w:p>
          <w:p>
            <w:pPr>
              <w:pStyle w:val="6"/>
              <w:spacing w:before="29" w:line="237" w:lineRule="auto"/>
              <w:ind w:left="112" w:right="105"/>
            </w:pPr>
            <w:r>
              <w:rPr>
                <w:rFonts w:ascii="Times New Roman" w:hAnsi="Times New Roman" w:eastAsia="Times New Roman" w:cs="Times New Roman"/>
                <w:spacing w:val="7"/>
              </w:rPr>
              <w:t>3.</w:t>
            </w:r>
            <w:r>
              <w:rPr>
                <w:spacing w:val="7"/>
              </w:rPr>
              <w:t>使用敞开式车间的，没有对敞开式车间物料添</w:t>
            </w:r>
            <w:r>
              <w:t xml:space="preserve"> </w:t>
            </w:r>
            <w:r>
              <w:rPr>
                <w:spacing w:val="8"/>
              </w:rPr>
              <w:t>加口和产品灌装处进行安全防护。</w:t>
            </w:r>
          </w:p>
          <w:p>
            <w:pPr>
              <w:pStyle w:val="6"/>
              <w:spacing w:before="28" w:line="238" w:lineRule="auto"/>
              <w:ind w:left="115" w:right="105" w:hanging="8"/>
            </w:pPr>
            <w:r>
              <w:rPr>
                <w:rFonts w:ascii="Times New Roman" w:hAnsi="Times New Roman" w:eastAsia="Times New Roman" w:cs="Times New Roman"/>
                <w:spacing w:val="6"/>
              </w:rPr>
              <w:t>4.</w:t>
            </w:r>
            <w:r>
              <w:rPr>
                <w:rFonts w:ascii="Times New Roman" w:hAnsi="Times New Roman" w:eastAsia="Times New Roman" w:cs="Times New Roman"/>
                <w:spacing w:val="-24"/>
              </w:rPr>
              <w:t xml:space="preserve"> </w:t>
            </w:r>
            <w:r>
              <w:rPr>
                <w:spacing w:val="6"/>
              </w:rPr>
              <w:t>与设备连接的主要固定管道，没有标明管内物</w:t>
            </w:r>
            <w:r>
              <w:t xml:space="preserve"> </w:t>
            </w:r>
            <w:r>
              <w:rPr>
                <w:spacing w:val="5"/>
              </w:rPr>
              <w:t>料流向等。</w:t>
            </w:r>
          </w:p>
        </w:tc>
        <w:tc>
          <w:tcPr>
            <w:tcW w:w="451"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restart"/>
            <w:tcBorders>
              <w:bottom w:val="nil"/>
            </w:tcBorders>
            <w:vAlign w:val="top"/>
          </w:tcPr>
          <w:p>
            <w:pPr>
              <w:spacing w:line="251" w:lineRule="auto"/>
              <w:rPr>
                <w:rFonts w:ascii="Arial"/>
                <w:sz w:val="21"/>
              </w:rPr>
            </w:pPr>
          </w:p>
          <w:p>
            <w:pPr>
              <w:pStyle w:val="6"/>
              <w:spacing w:before="65" w:line="244" w:lineRule="auto"/>
              <w:ind w:left="114" w:right="43" w:hanging="6"/>
              <w:jc w:val="both"/>
            </w:pPr>
            <w:r>
              <w:rPr>
                <w:rFonts w:ascii="Times New Roman" w:hAnsi="Times New Roman" w:eastAsia="Times New Roman" w:cs="Times New Roman"/>
                <w:spacing w:val="1"/>
              </w:rPr>
              <w:t>2.</w:t>
            </w:r>
            <w:r>
              <w:rPr>
                <w:rFonts w:ascii="Times New Roman" w:hAnsi="Times New Roman" w:eastAsia="Times New Roman" w:cs="Times New Roman"/>
                <w:spacing w:val="-15"/>
              </w:rPr>
              <w:t xml:space="preserve"> </w:t>
            </w:r>
            <w:r>
              <w:rPr>
                <w:spacing w:val="1"/>
              </w:rPr>
              <w:t>生产设备清洁卫生，直接接触原料、半成品、</w:t>
            </w:r>
            <w:r>
              <w:t xml:space="preserve"> </w:t>
            </w:r>
            <w:r>
              <w:rPr>
                <w:spacing w:val="6"/>
              </w:rPr>
              <w:t>成品的设备、工器具材质应当无毒、无味、抗</w:t>
            </w:r>
            <w:r>
              <w:rPr>
                <w:spacing w:val="18"/>
              </w:rPr>
              <w:t xml:space="preserve"> </w:t>
            </w:r>
            <w:r>
              <w:rPr>
                <w:spacing w:val="6"/>
              </w:rPr>
              <w:t>腐蚀、不易脱落，表面光滑、无吸收性，易于</w:t>
            </w:r>
            <w:r>
              <w:rPr>
                <w:spacing w:val="15"/>
              </w:rPr>
              <w:t xml:space="preserve"> </w:t>
            </w:r>
            <w:r>
              <w:rPr>
                <w:spacing w:val="7"/>
              </w:rPr>
              <w:t>清洁保养和消毒。</w:t>
            </w:r>
          </w:p>
        </w:tc>
        <w:tc>
          <w:tcPr>
            <w:tcW w:w="4528" w:type="dxa"/>
            <w:vAlign w:val="top"/>
          </w:tcPr>
          <w:p>
            <w:pPr>
              <w:pStyle w:val="6"/>
              <w:spacing w:before="36" w:line="213" w:lineRule="auto"/>
              <w:ind w:left="118"/>
            </w:pPr>
            <w:r>
              <w:rPr>
                <w:spacing w:val="6"/>
              </w:rPr>
              <w:t>符合规定要求。</w:t>
            </w:r>
          </w:p>
        </w:tc>
        <w:tc>
          <w:tcPr>
            <w:tcW w:w="451" w:type="dxa"/>
            <w:vAlign w:val="top"/>
          </w:tcPr>
          <w:p>
            <w:pPr>
              <w:spacing w:before="71"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5" w:line="233" w:lineRule="auto"/>
              <w:ind w:left="108" w:right="1578" w:firstLine="20"/>
            </w:pPr>
            <w:r>
              <w:rPr>
                <w:rFonts w:ascii="Times New Roman" w:hAnsi="Times New Roman" w:eastAsia="Times New Roman" w:cs="Times New Roman"/>
                <w:spacing w:val="4"/>
              </w:rPr>
              <w:t>1.</w:t>
            </w:r>
            <w:r>
              <w:rPr>
                <w:spacing w:val="4"/>
              </w:rPr>
              <w:t xml:space="preserve">设备清洁卫生程度略有不足。 </w:t>
            </w:r>
            <w:r>
              <w:rPr>
                <w:rFonts w:ascii="Times New Roman" w:hAnsi="Times New Roman" w:eastAsia="Times New Roman" w:cs="Times New Roman"/>
                <w:spacing w:val="7"/>
              </w:rPr>
              <w:t>2.</w:t>
            </w:r>
            <w:r>
              <w:rPr>
                <w:spacing w:val="7"/>
              </w:rPr>
              <w:t>设备表面结构略有不足。</w:t>
            </w:r>
          </w:p>
        </w:tc>
        <w:tc>
          <w:tcPr>
            <w:tcW w:w="451" w:type="dxa"/>
            <w:vAlign w:val="top"/>
          </w:tcPr>
          <w:p>
            <w:pPr>
              <w:spacing w:before="207"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34" w:line="225" w:lineRule="auto"/>
              <w:ind w:left="129"/>
            </w:pPr>
            <w:r>
              <w:rPr>
                <w:rFonts w:ascii="Times New Roman" w:hAnsi="Times New Roman" w:eastAsia="Times New Roman" w:cs="Times New Roman"/>
                <w:spacing w:val="4"/>
              </w:rPr>
              <w:t>1.</w:t>
            </w:r>
            <w:r>
              <w:rPr>
                <w:spacing w:val="4"/>
              </w:rPr>
              <w:t>设备严重不洁。</w:t>
            </w:r>
          </w:p>
          <w:p>
            <w:pPr>
              <w:pStyle w:val="6"/>
              <w:spacing w:before="29" w:line="232" w:lineRule="auto"/>
              <w:ind w:left="112" w:right="529" w:hanging="4"/>
            </w:pPr>
            <w:r>
              <w:rPr>
                <w:rFonts w:ascii="Times New Roman" w:hAnsi="Times New Roman" w:eastAsia="Times New Roman" w:cs="Times New Roman"/>
                <w:spacing w:val="6"/>
              </w:rPr>
              <w:t>2.</w:t>
            </w:r>
            <w:r>
              <w:rPr>
                <w:spacing w:val="6"/>
              </w:rPr>
              <w:t>设备结构存在较多不易清洁的卫生死角。</w:t>
            </w:r>
            <w:r>
              <w:rPr>
                <w:spacing w:val="13"/>
              </w:rPr>
              <w:t xml:space="preserve"> </w:t>
            </w:r>
            <w:r>
              <w:rPr>
                <w:rFonts w:ascii="Times New Roman" w:hAnsi="Times New Roman" w:eastAsia="Times New Roman" w:cs="Times New Roman"/>
                <w:spacing w:val="7"/>
              </w:rPr>
              <w:t>3.</w:t>
            </w:r>
            <w:r>
              <w:rPr>
                <w:spacing w:val="7"/>
              </w:rPr>
              <w:t>设备材质不符合规定要求。</w:t>
            </w:r>
          </w:p>
        </w:tc>
        <w:tc>
          <w:tcPr>
            <w:tcW w:w="451" w:type="dxa"/>
            <w:vAlign w:val="top"/>
          </w:tcPr>
          <w:p>
            <w:pPr>
              <w:spacing w:line="283"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65" w:line="242" w:lineRule="auto"/>
              <w:ind w:left="106" w:right="47" w:firstLine="6"/>
              <w:jc w:val="both"/>
            </w:pPr>
            <w:r>
              <w:rPr>
                <w:rFonts w:ascii="Times New Roman" w:hAnsi="Times New Roman" w:eastAsia="Times New Roman" w:cs="Times New Roman"/>
                <w:spacing w:val="7"/>
              </w:rPr>
              <w:t>3.</w:t>
            </w:r>
            <w:r>
              <w:rPr>
                <w:rFonts w:ascii="Times New Roman" w:hAnsi="Times New Roman" w:eastAsia="Times New Roman" w:cs="Times New Roman"/>
                <w:spacing w:val="-12"/>
              </w:rPr>
              <w:t xml:space="preserve"> </w:t>
            </w:r>
            <w:r>
              <w:rPr>
                <w:spacing w:val="7"/>
              </w:rPr>
              <w:t>生产设备维修保养良好，并做好记录。用于</w:t>
            </w:r>
            <w:r>
              <w:t xml:space="preserve"> 监测、控制、记录的设备应当定期校准、维护。</w:t>
            </w:r>
            <w:r>
              <w:rPr>
                <w:spacing w:val="4"/>
              </w:rPr>
              <w:t xml:space="preserve"> </w:t>
            </w:r>
            <w:r>
              <w:rPr>
                <w:spacing w:val="9"/>
              </w:rPr>
              <w:t>停用的设备需标注清晰，不影响正常生产。</w:t>
            </w:r>
          </w:p>
        </w:tc>
        <w:tc>
          <w:tcPr>
            <w:tcW w:w="4528" w:type="dxa"/>
            <w:vAlign w:val="top"/>
          </w:tcPr>
          <w:p>
            <w:pPr>
              <w:pStyle w:val="6"/>
              <w:spacing w:before="36" w:line="213" w:lineRule="auto"/>
              <w:ind w:left="118"/>
            </w:pPr>
            <w:r>
              <w:rPr>
                <w:spacing w:val="6"/>
              </w:rPr>
              <w:t>符合规定要求。</w:t>
            </w:r>
          </w:p>
        </w:tc>
        <w:tc>
          <w:tcPr>
            <w:tcW w:w="451" w:type="dxa"/>
            <w:vAlign w:val="top"/>
          </w:tcPr>
          <w:p>
            <w:pPr>
              <w:spacing w:before="71"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6" w:line="232" w:lineRule="auto"/>
              <w:ind w:left="108" w:right="318" w:firstLine="20"/>
            </w:pPr>
            <w:r>
              <w:rPr>
                <w:rFonts w:ascii="Times New Roman" w:hAnsi="Times New Roman" w:eastAsia="Times New Roman" w:cs="Times New Roman"/>
                <w:spacing w:val="6"/>
              </w:rPr>
              <w:t>1.</w:t>
            </w:r>
            <w:r>
              <w:rPr>
                <w:spacing w:val="6"/>
              </w:rPr>
              <w:t>个别设备维修保养、标识、记录略有不</w:t>
            </w:r>
            <w:r>
              <w:rPr>
                <w:spacing w:val="5"/>
              </w:rPr>
              <w:t>足。</w:t>
            </w:r>
            <w:r>
              <w:t xml:space="preserve"> </w:t>
            </w:r>
            <w:r>
              <w:rPr>
                <w:rFonts w:ascii="Times New Roman" w:hAnsi="Times New Roman" w:eastAsia="Times New Roman" w:cs="Times New Roman"/>
                <w:spacing w:val="8"/>
              </w:rPr>
              <w:t>2.</w:t>
            </w:r>
            <w:r>
              <w:rPr>
                <w:spacing w:val="8"/>
              </w:rPr>
              <w:t>个别监测设备未及时校准。</w:t>
            </w:r>
          </w:p>
        </w:tc>
        <w:tc>
          <w:tcPr>
            <w:tcW w:w="451" w:type="dxa"/>
            <w:vAlign w:val="top"/>
          </w:tcPr>
          <w:p>
            <w:pPr>
              <w:spacing w:before="207"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38" w:line="238" w:lineRule="auto"/>
              <w:ind w:left="130" w:right="271" w:hanging="1"/>
            </w:pPr>
            <w:r>
              <w:rPr>
                <w:rFonts w:ascii="Times New Roman" w:hAnsi="Times New Roman" w:eastAsia="Times New Roman" w:cs="Times New Roman"/>
                <w:spacing w:val="8"/>
              </w:rPr>
              <w:t>1.</w:t>
            </w:r>
            <w:r>
              <w:rPr>
                <w:spacing w:val="8"/>
              </w:rPr>
              <w:t>设备未列入维修保养计划或无维修保养记录</w:t>
            </w:r>
            <w:r>
              <w:rPr>
                <w:spacing w:val="3"/>
              </w:rPr>
              <w:t xml:space="preserve"> 的现象普遍。</w:t>
            </w:r>
          </w:p>
          <w:p>
            <w:pPr>
              <w:pStyle w:val="6"/>
              <w:spacing w:before="26" w:line="239" w:lineRule="auto"/>
              <w:ind w:left="120" w:right="105" w:hanging="12"/>
            </w:pPr>
            <w:r>
              <w:rPr>
                <w:rFonts w:ascii="Times New Roman" w:hAnsi="Times New Roman" w:eastAsia="Times New Roman" w:cs="Times New Roman"/>
                <w:spacing w:val="7"/>
              </w:rPr>
              <w:t>2.</w:t>
            </w:r>
            <w:r>
              <w:rPr>
                <w:spacing w:val="7"/>
              </w:rPr>
              <w:t>监测设备的精度、校准检定等无法满足规定要</w:t>
            </w:r>
            <w:r>
              <w:rPr>
                <w:spacing w:val="3"/>
              </w:rPr>
              <w:t xml:space="preserve"> </w:t>
            </w:r>
            <w:r>
              <w:rPr>
                <w:spacing w:val="-5"/>
              </w:rPr>
              <w:t>求。</w:t>
            </w:r>
          </w:p>
          <w:p>
            <w:pPr>
              <w:pStyle w:val="6"/>
              <w:spacing w:before="26" w:line="216" w:lineRule="auto"/>
              <w:ind w:left="113"/>
            </w:pPr>
            <w:r>
              <w:rPr>
                <w:rFonts w:ascii="Times New Roman" w:hAnsi="Times New Roman" w:eastAsia="Times New Roman" w:cs="Times New Roman"/>
                <w:spacing w:val="7"/>
              </w:rPr>
              <w:t>3.</w:t>
            </w:r>
            <w:r>
              <w:rPr>
                <w:spacing w:val="7"/>
              </w:rPr>
              <w:t>设备无标识，存在误用风险。</w:t>
            </w:r>
          </w:p>
        </w:tc>
        <w:tc>
          <w:tcPr>
            <w:tcW w:w="451" w:type="dxa"/>
            <w:vAlign w:val="top"/>
          </w:tcPr>
          <w:p>
            <w:pPr>
              <w:spacing w:line="277" w:lineRule="auto"/>
              <w:rPr>
                <w:rFonts w:ascii="Arial"/>
                <w:sz w:val="21"/>
              </w:rPr>
            </w:pPr>
          </w:p>
          <w:p>
            <w:pPr>
              <w:spacing w:line="277"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1" w:type="default"/>
          <w:pgSz w:w="15840" w:h="12240"/>
          <w:pgMar w:top="1040" w:right="1332" w:bottom="897" w:left="1327" w:header="0" w:footer="724" w:gutter="0"/>
          <w:cols w:space="720" w:num="1"/>
        </w:sectPr>
      </w:pPr>
    </w:p>
    <w:p>
      <w:pPr>
        <w:spacing w:before="12"/>
      </w:pPr>
    </w:p>
    <w:p>
      <w:pPr>
        <w:spacing w:before="12"/>
      </w:pPr>
    </w:p>
    <w:p>
      <w:pPr>
        <w:spacing w:before="11"/>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735"/>
        <w:gridCol w:w="4365"/>
        <w:gridCol w:w="4528"/>
        <w:gridCol w:w="451"/>
        <w:gridCol w:w="1109"/>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84" w:type="dxa"/>
            <w:textDirection w:val="tbRlV"/>
            <w:vAlign w:val="top"/>
          </w:tcPr>
          <w:p>
            <w:pPr>
              <w:spacing w:before="185"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7" w:line="234" w:lineRule="auto"/>
              <w:ind w:left="160" w:right="159"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5" w:type="dxa"/>
            <w:vAlign w:val="top"/>
          </w:tcPr>
          <w:p>
            <w:pPr>
              <w:spacing w:before="171" w:line="231" w:lineRule="auto"/>
              <w:ind w:left="1764"/>
              <w:rPr>
                <w:rFonts w:ascii="黑体" w:hAnsi="黑体" w:eastAsia="黑体" w:cs="黑体"/>
                <w:sz w:val="20"/>
                <w:szCs w:val="20"/>
              </w:rPr>
            </w:pPr>
            <w:r>
              <w:rPr>
                <w:rFonts w:ascii="黑体" w:hAnsi="黑体" w:eastAsia="黑体" w:cs="黑体"/>
                <w:spacing w:val="7"/>
                <w:sz w:val="20"/>
                <w:szCs w:val="20"/>
              </w:rPr>
              <w:t>核查内容</w:t>
            </w:r>
          </w:p>
        </w:tc>
        <w:tc>
          <w:tcPr>
            <w:tcW w:w="4979" w:type="dxa"/>
            <w:gridSpan w:val="2"/>
            <w:vAlign w:val="top"/>
          </w:tcPr>
          <w:p>
            <w:pPr>
              <w:spacing w:before="171" w:line="230" w:lineRule="auto"/>
              <w:ind w:left="2075"/>
              <w:rPr>
                <w:rFonts w:ascii="黑体" w:hAnsi="黑体" w:eastAsia="黑体" w:cs="黑体"/>
                <w:sz w:val="20"/>
                <w:szCs w:val="20"/>
              </w:rPr>
            </w:pPr>
            <w:r>
              <w:rPr>
                <w:rFonts w:ascii="黑体" w:hAnsi="黑体" w:eastAsia="黑体" w:cs="黑体"/>
                <w:spacing w:val="7"/>
                <w:sz w:val="20"/>
                <w:szCs w:val="20"/>
              </w:rPr>
              <w:t>评分标准</w:t>
            </w:r>
          </w:p>
        </w:tc>
        <w:tc>
          <w:tcPr>
            <w:tcW w:w="1109" w:type="dxa"/>
            <w:vAlign w:val="top"/>
          </w:tcPr>
          <w:p>
            <w:pPr>
              <w:spacing w:before="171" w:line="231" w:lineRule="auto"/>
              <w:ind w:left="140"/>
              <w:rPr>
                <w:rFonts w:ascii="黑体" w:hAnsi="黑体" w:eastAsia="黑体" w:cs="黑体"/>
                <w:sz w:val="20"/>
                <w:szCs w:val="20"/>
              </w:rPr>
            </w:pPr>
            <w:r>
              <w:rPr>
                <w:rFonts w:ascii="黑体" w:hAnsi="黑体" w:eastAsia="黑体" w:cs="黑体"/>
                <w:spacing w:val="7"/>
                <w:sz w:val="20"/>
                <w:szCs w:val="20"/>
              </w:rPr>
              <w:t>核查得分</w:t>
            </w:r>
          </w:p>
        </w:tc>
        <w:tc>
          <w:tcPr>
            <w:tcW w:w="1403" w:type="dxa"/>
            <w:vAlign w:val="top"/>
          </w:tcPr>
          <w:p>
            <w:pPr>
              <w:spacing w:before="171" w:line="230" w:lineRule="auto"/>
              <w:ind w:left="28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58"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735"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5" w:lineRule="auto"/>
              <w:ind w:left="156"/>
            </w:pPr>
            <w:r>
              <w:rPr>
                <w:spacing w:val="6"/>
              </w:rPr>
              <w:t>供排</w:t>
            </w:r>
          </w:p>
          <w:p>
            <w:pPr>
              <w:pStyle w:val="6"/>
              <w:spacing w:before="27" w:line="226" w:lineRule="auto"/>
              <w:ind w:left="159"/>
            </w:pPr>
            <w:r>
              <w:rPr>
                <w:spacing w:val="5"/>
              </w:rPr>
              <w:t>水设</w:t>
            </w:r>
          </w:p>
          <w:p>
            <w:pPr>
              <w:pStyle w:val="6"/>
              <w:spacing w:before="25" w:line="228" w:lineRule="auto"/>
              <w:ind w:left="267"/>
            </w:pPr>
            <w:r>
              <w:t>施</w:t>
            </w:r>
          </w:p>
        </w:tc>
        <w:tc>
          <w:tcPr>
            <w:tcW w:w="4365" w:type="dxa"/>
            <w:vMerge w:val="restart"/>
            <w:tcBorders>
              <w:bottom w:val="nil"/>
            </w:tcBorders>
            <w:vAlign w:val="top"/>
          </w:tcPr>
          <w:p>
            <w:pPr>
              <w:pStyle w:val="6"/>
              <w:spacing w:before="177" w:line="224" w:lineRule="auto"/>
              <w:ind w:left="128"/>
              <w:rPr>
                <w:rFonts w:ascii="Times New Roman" w:hAnsi="Times New Roman" w:eastAsia="Times New Roman" w:cs="Times New Roman"/>
              </w:rPr>
            </w:pPr>
            <w:r>
              <w:rPr>
                <w:rFonts w:ascii="Times New Roman" w:hAnsi="Times New Roman" w:eastAsia="Times New Roman" w:cs="Times New Roman"/>
                <w:spacing w:val="8"/>
              </w:rPr>
              <w:t>1.</w:t>
            </w:r>
            <w:r>
              <w:rPr>
                <w:spacing w:val="8"/>
              </w:rPr>
              <w:t>食品添加剂加工用水的水质应当符合</w:t>
            </w:r>
            <w:r>
              <w:rPr>
                <w:spacing w:val="-38"/>
              </w:rPr>
              <w:t xml:space="preserve"> </w:t>
            </w:r>
            <w:r>
              <w:rPr>
                <w:rFonts w:ascii="Times New Roman" w:hAnsi="Times New Roman" w:eastAsia="Times New Roman" w:cs="Times New Roman"/>
              </w:rPr>
              <w:t>GB</w:t>
            </w:r>
          </w:p>
          <w:p>
            <w:pPr>
              <w:pStyle w:val="6"/>
              <w:spacing w:before="26" w:line="247" w:lineRule="auto"/>
              <w:ind w:left="112" w:right="106" w:firstLine="1"/>
            </w:pPr>
            <w:r>
              <w:rPr>
                <w:rFonts w:ascii="Times New Roman" w:hAnsi="Times New Roman" w:eastAsia="Times New Roman" w:cs="Times New Roman"/>
                <w:spacing w:val="7"/>
              </w:rPr>
              <w:t>5749</w:t>
            </w:r>
            <w:r>
              <w:rPr>
                <w:rFonts w:ascii="Times New Roman" w:hAnsi="Times New Roman" w:eastAsia="Times New Roman" w:cs="Times New Roman"/>
                <w:spacing w:val="33"/>
                <w:w w:val="101"/>
              </w:rPr>
              <w:t xml:space="preserve"> </w:t>
            </w:r>
            <w:r>
              <w:rPr>
                <w:spacing w:val="7"/>
              </w:rPr>
              <w:t>的规定，有特殊要求的应当符合相应规</w:t>
            </w:r>
            <w:r>
              <w:t xml:space="preserve">  </w:t>
            </w:r>
            <w:r>
              <w:rPr>
                <w:spacing w:val="6"/>
              </w:rPr>
              <w:t>定。食品添加剂加工用水与其他不与食品添加</w:t>
            </w:r>
            <w:r>
              <w:rPr>
                <w:spacing w:val="18"/>
              </w:rPr>
              <w:t xml:space="preserve"> </w:t>
            </w:r>
            <w:r>
              <w:rPr>
                <w:spacing w:val="7"/>
              </w:rPr>
              <w:t>剂接触的用水应当以完全分离的管路输送，避</w:t>
            </w:r>
            <w:r>
              <w:t xml:space="preserve"> </w:t>
            </w:r>
            <w:r>
              <w:rPr>
                <w:spacing w:val="6"/>
              </w:rPr>
              <w:t>免交叉污染。各管路系统应当明确标识以便区</w:t>
            </w:r>
            <w:r>
              <w:rPr>
                <w:spacing w:val="18"/>
              </w:rPr>
              <w:t xml:space="preserve"> </w:t>
            </w:r>
            <w:r>
              <w:t>分。</w:t>
            </w:r>
          </w:p>
        </w:tc>
        <w:tc>
          <w:tcPr>
            <w:tcW w:w="4528" w:type="dxa"/>
            <w:vAlign w:val="top"/>
          </w:tcPr>
          <w:p>
            <w:pPr>
              <w:pStyle w:val="6"/>
              <w:spacing w:before="30" w:line="218" w:lineRule="auto"/>
              <w:ind w:left="118"/>
            </w:pPr>
            <w:r>
              <w:rPr>
                <w:spacing w:val="6"/>
              </w:rPr>
              <w:t>符合规定要求。</w:t>
            </w:r>
          </w:p>
        </w:tc>
        <w:tc>
          <w:tcPr>
            <w:tcW w:w="451" w:type="dxa"/>
            <w:vAlign w:val="top"/>
          </w:tcPr>
          <w:p>
            <w:pPr>
              <w:spacing w:before="66"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2" w:line="225" w:lineRule="auto"/>
              <w:ind w:left="129"/>
            </w:pPr>
            <w:r>
              <w:rPr>
                <w:rFonts w:ascii="Times New Roman" w:hAnsi="Times New Roman" w:eastAsia="Times New Roman" w:cs="Times New Roman"/>
                <w:spacing w:val="6"/>
              </w:rPr>
              <w:t>1.</w:t>
            </w:r>
            <w:r>
              <w:rPr>
                <w:spacing w:val="6"/>
              </w:rPr>
              <w:t>供水管路标识略有不足。</w:t>
            </w:r>
          </w:p>
          <w:p>
            <w:pPr>
              <w:pStyle w:val="6"/>
              <w:spacing w:before="29" w:line="233" w:lineRule="auto"/>
              <w:ind w:left="112" w:right="1789" w:hanging="4"/>
            </w:pPr>
            <w:r>
              <w:rPr>
                <w:rFonts w:ascii="Times New Roman" w:hAnsi="Times New Roman" w:eastAsia="Times New Roman" w:cs="Times New Roman"/>
                <w:spacing w:val="5"/>
              </w:rPr>
              <w:t>2.</w:t>
            </w:r>
            <w:r>
              <w:rPr>
                <w:spacing w:val="5"/>
              </w:rPr>
              <w:t>水质检测报告有轻微缺陷。</w:t>
            </w:r>
            <w:r>
              <w:rPr>
                <w:spacing w:val="3"/>
              </w:rPr>
              <w:t xml:space="preserve"> </w:t>
            </w:r>
            <w:r>
              <w:rPr>
                <w:rFonts w:ascii="Times New Roman" w:hAnsi="Times New Roman" w:eastAsia="Times New Roman" w:cs="Times New Roman"/>
                <w:spacing w:val="5"/>
              </w:rPr>
              <w:t>3.</w:t>
            </w:r>
            <w:r>
              <w:rPr>
                <w:spacing w:val="5"/>
              </w:rPr>
              <w:t>供水水压、水量稍有不足。</w:t>
            </w:r>
          </w:p>
        </w:tc>
        <w:tc>
          <w:tcPr>
            <w:tcW w:w="451" w:type="dxa"/>
            <w:vAlign w:val="top"/>
          </w:tcPr>
          <w:p>
            <w:pPr>
              <w:spacing w:line="281" w:lineRule="auto"/>
              <w:rPr>
                <w:rFonts w:ascii="Arial"/>
                <w:sz w:val="21"/>
              </w:rPr>
            </w:pPr>
          </w:p>
          <w:p>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34" w:line="238" w:lineRule="auto"/>
              <w:ind w:left="108" w:right="109" w:firstLine="20"/>
            </w:pPr>
            <w:r>
              <w:rPr>
                <w:rFonts w:ascii="Times New Roman" w:hAnsi="Times New Roman" w:eastAsia="Times New Roman" w:cs="Times New Roman"/>
                <w:spacing w:val="6"/>
              </w:rPr>
              <w:t>1.</w:t>
            </w:r>
            <w:r>
              <w:rPr>
                <w:spacing w:val="6"/>
              </w:rPr>
              <w:t>食品添加剂加工用水的水质不符合规定要求。</w:t>
            </w:r>
            <w:r>
              <w:rPr>
                <w:spacing w:val="1"/>
              </w:rPr>
              <w:t xml:space="preserve"> </w:t>
            </w:r>
            <w:r>
              <w:rPr>
                <w:rFonts w:ascii="Times New Roman" w:hAnsi="Times New Roman" w:eastAsia="Times New Roman" w:cs="Times New Roman"/>
                <w:spacing w:val="8"/>
              </w:rPr>
              <w:t>2.</w:t>
            </w:r>
            <w:r>
              <w:rPr>
                <w:spacing w:val="8"/>
              </w:rPr>
              <w:t>供水管路无标识或标识混乱。</w:t>
            </w:r>
          </w:p>
          <w:p>
            <w:pPr>
              <w:pStyle w:val="6"/>
              <w:spacing w:before="29" w:line="214" w:lineRule="auto"/>
              <w:ind w:left="113"/>
            </w:pPr>
            <w:r>
              <w:rPr>
                <w:rFonts w:ascii="Times New Roman" w:hAnsi="Times New Roman" w:eastAsia="Times New Roman" w:cs="Times New Roman"/>
                <w:spacing w:val="7"/>
              </w:rPr>
              <w:t>3.</w:t>
            </w:r>
            <w:r>
              <w:rPr>
                <w:spacing w:val="7"/>
              </w:rPr>
              <w:t>供水管路存在交叉污染。</w:t>
            </w:r>
          </w:p>
        </w:tc>
        <w:tc>
          <w:tcPr>
            <w:tcW w:w="451" w:type="dxa"/>
            <w:vAlign w:val="top"/>
          </w:tcPr>
          <w:p>
            <w:pPr>
              <w:spacing w:line="281"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restart"/>
            <w:tcBorders>
              <w:bottom w:val="nil"/>
            </w:tcBorders>
            <w:vAlign w:val="top"/>
          </w:tcPr>
          <w:p>
            <w:pPr>
              <w:spacing w:line="249" w:lineRule="auto"/>
              <w:rPr>
                <w:rFonts w:ascii="Arial"/>
                <w:sz w:val="21"/>
              </w:rPr>
            </w:pPr>
          </w:p>
          <w:p>
            <w:pPr>
              <w:pStyle w:val="6"/>
              <w:spacing w:before="65" w:line="246" w:lineRule="auto"/>
              <w:ind w:left="111" w:right="106" w:hanging="3"/>
            </w:pPr>
            <w:r>
              <w:rPr>
                <w:rFonts w:ascii="Times New Roman" w:hAnsi="Times New Roman" w:eastAsia="Times New Roman" w:cs="Times New Roman"/>
                <w:spacing w:val="9"/>
              </w:rPr>
              <w:t>2.</w:t>
            </w:r>
            <w:r>
              <w:rPr>
                <w:spacing w:val="9"/>
              </w:rPr>
              <w:t>排水系统的设计和建造应保证排水畅通，便</w:t>
            </w:r>
            <w:r>
              <w:t xml:space="preserve"> </w:t>
            </w:r>
            <w:r>
              <w:rPr>
                <w:spacing w:val="7"/>
              </w:rPr>
              <w:t>于清洁维护，且满足生产的需要。室内排水应</w:t>
            </w:r>
            <w:r>
              <w:t xml:space="preserve"> </w:t>
            </w:r>
            <w:r>
              <w:rPr>
                <w:spacing w:val="9"/>
              </w:rPr>
              <w:t>当由清洁程度高的区域流向清洁程度低的区</w:t>
            </w:r>
            <w:r>
              <w:rPr>
                <w:spacing w:val="4"/>
              </w:rPr>
              <w:t xml:space="preserve">  </w:t>
            </w:r>
            <w:r>
              <w:rPr>
                <w:spacing w:val="6"/>
              </w:rPr>
              <w:t>域，且有防止逆流的措施。排水系统出入口设</w:t>
            </w:r>
            <w:r>
              <w:rPr>
                <w:spacing w:val="18"/>
              </w:rPr>
              <w:t xml:space="preserve"> </w:t>
            </w:r>
            <w:r>
              <w:rPr>
                <w:spacing w:val="8"/>
              </w:rPr>
              <w:t>计合理并有防止污染和虫害侵入的措施。</w:t>
            </w:r>
          </w:p>
        </w:tc>
        <w:tc>
          <w:tcPr>
            <w:tcW w:w="4528" w:type="dxa"/>
            <w:vAlign w:val="top"/>
          </w:tcPr>
          <w:p>
            <w:pPr>
              <w:pStyle w:val="6"/>
              <w:spacing w:before="36" w:line="213" w:lineRule="auto"/>
              <w:ind w:left="118"/>
            </w:pPr>
            <w:r>
              <w:rPr>
                <w:spacing w:val="6"/>
              </w:rPr>
              <w:t>符合规定要求。</w:t>
            </w:r>
          </w:p>
        </w:tc>
        <w:tc>
          <w:tcPr>
            <w:tcW w:w="451" w:type="dxa"/>
            <w:vAlign w:val="top"/>
          </w:tcPr>
          <w:p>
            <w:pPr>
              <w:spacing w:before="71"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5" w:line="225" w:lineRule="auto"/>
              <w:ind w:left="129"/>
            </w:pPr>
            <w:r>
              <w:rPr>
                <w:rFonts w:ascii="Times New Roman" w:hAnsi="Times New Roman" w:eastAsia="Times New Roman" w:cs="Times New Roman"/>
                <w:spacing w:val="5"/>
              </w:rPr>
              <w:t>1.</w:t>
            </w:r>
            <w:r>
              <w:rPr>
                <w:spacing w:val="5"/>
              </w:rPr>
              <w:t>个别排水略有不畅。</w:t>
            </w:r>
          </w:p>
          <w:p>
            <w:pPr>
              <w:pStyle w:val="6"/>
              <w:spacing w:before="26" w:line="233" w:lineRule="auto"/>
              <w:ind w:left="109" w:right="105" w:hanging="1"/>
            </w:pPr>
            <w:r>
              <w:rPr>
                <w:rFonts w:ascii="Times New Roman" w:hAnsi="Times New Roman" w:eastAsia="Times New Roman" w:cs="Times New Roman"/>
                <w:spacing w:val="7"/>
              </w:rPr>
              <w:t>2.</w:t>
            </w:r>
            <w:r>
              <w:rPr>
                <w:spacing w:val="7"/>
              </w:rPr>
              <w:t>个别排水管路、排水口的相关防护措施略有不</w:t>
            </w:r>
            <w:r>
              <w:rPr>
                <w:spacing w:val="3"/>
              </w:rPr>
              <w:t xml:space="preserve"> </w:t>
            </w:r>
            <w:r>
              <w:rPr>
                <w:spacing w:val="1"/>
              </w:rPr>
              <w:t>足。</w:t>
            </w:r>
          </w:p>
        </w:tc>
        <w:tc>
          <w:tcPr>
            <w:tcW w:w="451" w:type="dxa"/>
            <w:vAlign w:val="top"/>
          </w:tcPr>
          <w:p>
            <w:pPr>
              <w:spacing w:line="282" w:lineRule="auto"/>
              <w:rPr>
                <w:rFonts w:ascii="Arial"/>
                <w:sz w:val="21"/>
              </w:rPr>
            </w:pPr>
          </w:p>
          <w:p>
            <w:pPr>
              <w:spacing w:before="57"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37" w:line="225" w:lineRule="auto"/>
              <w:ind w:left="129"/>
            </w:pPr>
            <w:r>
              <w:rPr>
                <w:rFonts w:ascii="Times New Roman" w:hAnsi="Times New Roman" w:eastAsia="Times New Roman" w:cs="Times New Roman"/>
                <w:spacing w:val="6"/>
              </w:rPr>
              <w:t>1.</w:t>
            </w:r>
            <w:r>
              <w:rPr>
                <w:spacing w:val="6"/>
              </w:rPr>
              <w:t>排水不畅，积水严重。</w:t>
            </w:r>
          </w:p>
          <w:p>
            <w:pPr>
              <w:pStyle w:val="6"/>
              <w:spacing w:before="28" w:line="232" w:lineRule="auto"/>
              <w:ind w:left="112" w:right="1158" w:hanging="4"/>
            </w:pPr>
            <w:r>
              <w:rPr>
                <w:rFonts w:ascii="Times New Roman" w:hAnsi="Times New Roman" w:eastAsia="Times New Roman" w:cs="Times New Roman"/>
                <w:spacing w:val="4"/>
              </w:rPr>
              <w:t>2.</w:t>
            </w:r>
            <w:r>
              <w:rPr>
                <w:rFonts w:ascii="Times New Roman" w:hAnsi="Times New Roman" w:eastAsia="Times New Roman" w:cs="Times New Roman"/>
                <w:spacing w:val="-14"/>
              </w:rPr>
              <w:t xml:space="preserve"> </w:t>
            </w:r>
            <w:r>
              <w:rPr>
                <w:spacing w:val="4"/>
              </w:rPr>
              <w:t>生产车间内排水流向不符合要求。</w:t>
            </w:r>
            <w:r>
              <w:t xml:space="preserve"> </w:t>
            </w:r>
            <w:r>
              <w:rPr>
                <w:rFonts w:ascii="Times New Roman" w:hAnsi="Times New Roman" w:eastAsia="Times New Roman" w:cs="Times New Roman"/>
                <w:spacing w:val="7"/>
              </w:rPr>
              <w:t>3.</w:t>
            </w:r>
            <w:r>
              <w:rPr>
                <w:spacing w:val="7"/>
              </w:rPr>
              <w:t>排水口防护措施严重不足。</w:t>
            </w:r>
          </w:p>
        </w:tc>
        <w:tc>
          <w:tcPr>
            <w:tcW w:w="451" w:type="dxa"/>
            <w:vAlign w:val="top"/>
          </w:tcPr>
          <w:p>
            <w:pPr>
              <w:spacing w:line="284"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before="58"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735" w:type="dxa"/>
            <w:vMerge w:val="restart"/>
            <w:tcBorders>
              <w:bottom w:val="nil"/>
            </w:tcBorders>
            <w:vAlign w:val="top"/>
          </w:tcPr>
          <w:p>
            <w:pPr>
              <w:spacing w:line="241" w:lineRule="auto"/>
              <w:rPr>
                <w:rFonts w:ascii="Arial"/>
                <w:sz w:val="21"/>
              </w:rPr>
            </w:pPr>
          </w:p>
          <w:p>
            <w:pPr>
              <w:pStyle w:val="6"/>
              <w:spacing w:before="65" w:line="243" w:lineRule="auto"/>
              <w:ind w:left="160" w:right="159" w:firstLine="9"/>
              <w:jc w:val="both"/>
            </w:pPr>
            <w:r>
              <w:rPr>
                <w:spacing w:val="-1"/>
              </w:rPr>
              <w:t>清洁</w:t>
            </w:r>
            <w:r>
              <w:t xml:space="preserve"> </w:t>
            </w:r>
            <w:r>
              <w:rPr>
                <w:spacing w:val="4"/>
              </w:rPr>
              <w:t>消毒</w:t>
            </w:r>
            <w:r>
              <w:t xml:space="preserve"> </w:t>
            </w:r>
            <w:r>
              <w:rPr>
                <w:spacing w:val="4"/>
              </w:rPr>
              <w:t>设施</w:t>
            </w:r>
          </w:p>
        </w:tc>
        <w:tc>
          <w:tcPr>
            <w:tcW w:w="4365" w:type="dxa"/>
            <w:vMerge w:val="restart"/>
            <w:tcBorders>
              <w:bottom w:val="nil"/>
            </w:tcBorders>
            <w:vAlign w:val="top"/>
          </w:tcPr>
          <w:p>
            <w:pPr>
              <w:pStyle w:val="6"/>
              <w:spacing w:before="34" w:line="244" w:lineRule="auto"/>
              <w:ind w:left="118" w:right="105" w:hanging="1"/>
            </w:pPr>
            <w:r>
              <w:rPr>
                <w:spacing w:val="6"/>
              </w:rPr>
              <w:t>应当配备相应的食品添加剂、工器具和设备等</w:t>
            </w:r>
            <w:r>
              <w:rPr>
                <w:spacing w:val="15"/>
              </w:rPr>
              <w:t xml:space="preserve"> </w:t>
            </w:r>
            <w:r>
              <w:rPr>
                <w:spacing w:val="6"/>
              </w:rPr>
              <w:t>专用清洁设施，必要时配备相应的消毒设施。</w:t>
            </w:r>
            <w:r>
              <w:rPr>
                <w:spacing w:val="15"/>
              </w:rPr>
              <w:t xml:space="preserve"> </w:t>
            </w:r>
            <w:r>
              <w:rPr>
                <w:spacing w:val="9"/>
              </w:rPr>
              <w:t>清洁、消毒方式应当避免对产品造成交叉污</w:t>
            </w:r>
            <w:r>
              <w:rPr>
                <w:spacing w:val="1"/>
              </w:rPr>
              <w:t xml:space="preserve">  </w:t>
            </w:r>
            <w:r>
              <w:rPr>
                <w:spacing w:val="6"/>
              </w:rPr>
              <w:t>染，使用的洗涤剂、消毒剂应当符合相关规定</w:t>
            </w:r>
            <w:r>
              <w:rPr>
                <w:spacing w:val="14"/>
              </w:rPr>
              <w:t xml:space="preserve"> </w:t>
            </w:r>
            <w:r>
              <w:rPr>
                <w:spacing w:val="1"/>
              </w:rPr>
              <w:t>要求。</w:t>
            </w:r>
          </w:p>
        </w:tc>
        <w:tc>
          <w:tcPr>
            <w:tcW w:w="4528" w:type="dxa"/>
            <w:vAlign w:val="top"/>
          </w:tcPr>
          <w:p>
            <w:pPr>
              <w:pStyle w:val="6"/>
              <w:spacing w:before="35" w:line="214" w:lineRule="auto"/>
              <w:ind w:left="118"/>
            </w:pPr>
            <w:r>
              <w:rPr>
                <w:spacing w:val="6"/>
              </w:rPr>
              <w:t>符合规定要求。</w:t>
            </w:r>
          </w:p>
        </w:tc>
        <w:tc>
          <w:tcPr>
            <w:tcW w:w="451" w:type="dxa"/>
            <w:vAlign w:val="top"/>
          </w:tcPr>
          <w:p>
            <w:pPr>
              <w:spacing w:before="70"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7" w:line="212" w:lineRule="auto"/>
              <w:ind w:left="122"/>
            </w:pPr>
            <w:r>
              <w:rPr>
                <w:spacing w:val="7"/>
              </w:rPr>
              <w:t>清洁消毒设施略有不足。</w:t>
            </w:r>
          </w:p>
        </w:tc>
        <w:tc>
          <w:tcPr>
            <w:tcW w:w="451" w:type="dxa"/>
            <w:vAlign w:val="top"/>
          </w:tcPr>
          <w:p>
            <w:pPr>
              <w:spacing w:before="72"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163" w:line="237" w:lineRule="auto"/>
              <w:ind w:left="112" w:right="52" w:firstLine="9"/>
            </w:pPr>
            <w:r>
              <w:rPr>
                <w:spacing w:val="7"/>
              </w:rPr>
              <w:t>清洁消毒设施严重不足，或者清洁消毒的方式、</w:t>
            </w:r>
            <w:r>
              <w:t xml:space="preserve"> </w:t>
            </w:r>
            <w:r>
              <w:rPr>
                <w:spacing w:val="8"/>
              </w:rPr>
              <w:t>用品不符合规定要求。</w:t>
            </w:r>
          </w:p>
        </w:tc>
        <w:tc>
          <w:tcPr>
            <w:tcW w:w="451" w:type="dxa"/>
            <w:vAlign w:val="top"/>
          </w:tcPr>
          <w:p>
            <w:pPr>
              <w:spacing w:line="275"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4"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before="57"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735" w:type="dxa"/>
            <w:vMerge w:val="restart"/>
            <w:tcBorders>
              <w:bottom w:val="nil"/>
            </w:tcBorders>
            <w:vAlign w:val="top"/>
          </w:tcPr>
          <w:p>
            <w:pPr>
              <w:pStyle w:val="6"/>
              <w:spacing w:before="172" w:line="226" w:lineRule="auto"/>
              <w:ind w:left="159"/>
            </w:pPr>
            <w:r>
              <w:rPr>
                <w:spacing w:val="5"/>
              </w:rPr>
              <w:t>废弃</w:t>
            </w:r>
          </w:p>
          <w:p>
            <w:pPr>
              <w:pStyle w:val="6"/>
              <w:spacing w:before="25" w:line="223" w:lineRule="auto"/>
              <w:ind w:left="167"/>
            </w:pPr>
            <w:r>
              <w:rPr>
                <w:spacing w:val="1"/>
              </w:rPr>
              <w:t>物存</w:t>
            </w:r>
          </w:p>
          <w:p>
            <w:pPr>
              <w:pStyle w:val="6"/>
              <w:spacing w:before="32" w:line="227" w:lineRule="auto"/>
              <w:ind w:left="161"/>
            </w:pPr>
            <w:r>
              <w:rPr>
                <w:spacing w:val="4"/>
              </w:rPr>
              <w:t>放设</w:t>
            </w:r>
          </w:p>
          <w:p>
            <w:pPr>
              <w:pStyle w:val="6"/>
              <w:spacing w:before="27" w:line="228" w:lineRule="auto"/>
              <w:ind w:left="267"/>
            </w:pPr>
            <w:r>
              <w:t>施</w:t>
            </w:r>
          </w:p>
        </w:tc>
        <w:tc>
          <w:tcPr>
            <w:tcW w:w="4365" w:type="dxa"/>
            <w:vMerge w:val="restart"/>
            <w:tcBorders>
              <w:bottom w:val="nil"/>
            </w:tcBorders>
            <w:vAlign w:val="top"/>
          </w:tcPr>
          <w:p>
            <w:pPr>
              <w:pStyle w:val="6"/>
              <w:spacing w:before="35" w:line="244" w:lineRule="auto"/>
              <w:ind w:left="112" w:right="106" w:firstLine="4"/>
              <w:jc w:val="both"/>
            </w:pPr>
            <w:r>
              <w:rPr>
                <w:spacing w:val="6"/>
              </w:rPr>
              <w:t>应当配备设计合理、防止渗漏、易于清洁的存</w:t>
            </w:r>
            <w:r>
              <w:rPr>
                <w:spacing w:val="13"/>
              </w:rPr>
              <w:t xml:space="preserve"> </w:t>
            </w:r>
            <w:r>
              <w:rPr>
                <w:spacing w:val="6"/>
              </w:rPr>
              <w:t>放废弃物的专用设施，必要时可设置废弃物临</w:t>
            </w:r>
            <w:r>
              <w:rPr>
                <w:spacing w:val="17"/>
              </w:rPr>
              <w:t xml:space="preserve"> </w:t>
            </w:r>
            <w:r>
              <w:rPr>
                <w:spacing w:val="6"/>
              </w:rPr>
              <w:t>时存放设施。车间内存放废弃物的设施和容器</w:t>
            </w:r>
            <w:r>
              <w:rPr>
                <w:spacing w:val="17"/>
              </w:rPr>
              <w:t xml:space="preserve"> </w:t>
            </w:r>
            <w:r>
              <w:rPr>
                <w:spacing w:val="7"/>
              </w:rPr>
              <w:t>应当标识清晰，不得与盛装原料、半成品、成</w:t>
            </w:r>
            <w:r>
              <w:t xml:space="preserve"> </w:t>
            </w:r>
            <w:r>
              <w:rPr>
                <w:spacing w:val="6"/>
              </w:rPr>
              <w:t>品的容器混用。</w:t>
            </w:r>
          </w:p>
        </w:tc>
        <w:tc>
          <w:tcPr>
            <w:tcW w:w="4528" w:type="dxa"/>
            <w:vAlign w:val="top"/>
          </w:tcPr>
          <w:p>
            <w:pPr>
              <w:pStyle w:val="6"/>
              <w:spacing w:before="37" w:line="213" w:lineRule="auto"/>
              <w:ind w:left="118"/>
            </w:pPr>
            <w:r>
              <w:rPr>
                <w:spacing w:val="6"/>
              </w:rPr>
              <w:t>符合规定要求。</w:t>
            </w:r>
          </w:p>
        </w:tc>
        <w:tc>
          <w:tcPr>
            <w:tcW w:w="451" w:type="dxa"/>
            <w:vAlign w:val="top"/>
          </w:tcPr>
          <w:p>
            <w:pPr>
              <w:spacing w:before="72"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5" w:line="214" w:lineRule="auto"/>
              <w:ind w:left="111"/>
            </w:pPr>
            <w:r>
              <w:rPr>
                <w:spacing w:val="8"/>
              </w:rPr>
              <w:t>废弃物存放设施及标识略有不足。</w:t>
            </w:r>
          </w:p>
        </w:tc>
        <w:tc>
          <w:tcPr>
            <w:tcW w:w="451" w:type="dxa"/>
            <w:vAlign w:val="top"/>
          </w:tcPr>
          <w:p>
            <w:pPr>
              <w:spacing w:before="70"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161" w:line="238" w:lineRule="auto"/>
              <w:ind w:left="115" w:right="52" w:hanging="4"/>
            </w:pPr>
            <w:r>
              <w:rPr>
                <w:spacing w:val="7"/>
              </w:rPr>
              <w:t>废弃物存放设施设计不合理，或者与盛装原料、</w:t>
            </w:r>
            <w:r>
              <w:rPr>
                <w:spacing w:val="11"/>
              </w:rPr>
              <w:t xml:space="preserve"> </w:t>
            </w:r>
            <w:r>
              <w:rPr>
                <w:spacing w:val="8"/>
              </w:rPr>
              <w:t>半成品、成品的容器混用。</w:t>
            </w:r>
          </w:p>
        </w:tc>
        <w:tc>
          <w:tcPr>
            <w:tcW w:w="451" w:type="dxa"/>
            <w:vAlign w:val="top"/>
          </w:tcPr>
          <w:p>
            <w:pPr>
              <w:spacing w:line="273"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before="58"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735" w:type="dxa"/>
            <w:vMerge w:val="restart"/>
            <w:tcBorders>
              <w:bottom w:val="nil"/>
            </w:tcBorders>
            <w:vAlign w:val="top"/>
          </w:tcPr>
          <w:p>
            <w:pPr>
              <w:spacing w:line="241" w:lineRule="auto"/>
              <w:rPr>
                <w:rFonts w:ascii="Arial"/>
                <w:sz w:val="21"/>
              </w:rPr>
            </w:pPr>
          </w:p>
          <w:p>
            <w:pPr>
              <w:pStyle w:val="6"/>
              <w:spacing w:before="65" w:line="243" w:lineRule="auto"/>
              <w:ind w:left="160" w:right="159" w:firstLine="1"/>
              <w:jc w:val="both"/>
            </w:pPr>
            <w:r>
              <w:rPr>
                <w:spacing w:val="3"/>
              </w:rPr>
              <w:t>个人</w:t>
            </w:r>
            <w:r>
              <w:t xml:space="preserve"> </w:t>
            </w:r>
            <w:r>
              <w:rPr>
                <w:spacing w:val="4"/>
              </w:rPr>
              <w:t>卫生</w:t>
            </w:r>
            <w:r>
              <w:t xml:space="preserve"> </w:t>
            </w:r>
            <w:r>
              <w:rPr>
                <w:spacing w:val="4"/>
              </w:rPr>
              <w:t>设施</w:t>
            </w:r>
          </w:p>
        </w:tc>
        <w:tc>
          <w:tcPr>
            <w:tcW w:w="4365" w:type="dxa"/>
            <w:vMerge w:val="restart"/>
            <w:tcBorders>
              <w:bottom w:val="nil"/>
            </w:tcBorders>
            <w:vAlign w:val="top"/>
          </w:tcPr>
          <w:p>
            <w:pPr>
              <w:pStyle w:val="6"/>
              <w:spacing w:before="37" w:line="244" w:lineRule="auto"/>
              <w:ind w:left="112" w:right="59" w:firstLine="13"/>
            </w:pPr>
            <w:r>
              <w:rPr>
                <w:spacing w:val="6"/>
              </w:rPr>
              <w:t>生产场所或车间入口处应当设置更衣室，更衣</w:t>
            </w:r>
            <w:r>
              <w:rPr>
                <w:spacing w:val="5"/>
              </w:rPr>
              <w:t xml:space="preserve"> </w:t>
            </w:r>
            <w:r>
              <w:rPr>
                <w:spacing w:val="9"/>
              </w:rPr>
              <w:t>室应当保证工作服与个人服装及其他物品分</w:t>
            </w:r>
            <w:r>
              <w:rPr>
                <w:spacing w:val="2"/>
              </w:rPr>
              <w:t xml:space="preserve">   </w:t>
            </w:r>
            <w:r>
              <w:rPr>
                <w:spacing w:val="6"/>
              </w:rPr>
              <w:t>开放置；车间入口及车间内必要处，应当按需</w:t>
            </w:r>
            <w:r>
              <w:rPr>
                <w:spacing w:val="18"/>
              </w:rPr>
              <w:t xml:space="preserve"> </w:t>
            </w:r>
            <w:r>
              <w:rPr>
                <w:spacing w:val="-1"/>
              </w:rPr>
              <w:t>设置换鞋（或穿戴鞋套）设施或鞋靴消毒设施；</w:t>
            </w:r>
            <w:r>
              <w:rPr>
                <w:spacing w:val="8"/>
              </w:rPr>
              <w:t xml:space="preserve"> </w:t>
            </w:r>
            <w:r>
              <w:rPr>
                <w:spacing w:val="9"/>
              </w:rPr>
              <w:t>清洁作业区入口应当设置与生产加工人员数</w:t>
            </w:r>
          </w:p>
        </w:tc>
        <w:tc>
          <w:tcPr>
            <w:tcW w:w="4528" w:type="dxa"/>
            <w:vAlign w:val="top"/>
          </w:tcPr>
          <w:p>
            <w:pPr>
              <w:pStyle w:val="6"/>
              <w:spacing w:before="36" w:line="213" w:lineRule="auto"/>
              <w:ind w:left="118"/>
            </w:pPr>
            <w:r>
              <w:rPr>
                <w:spacing w:val="6"/>
              </w:rPr>
              <w:t>符合规定要求。</w:t>
            </w:r>
          </w:p>
        </w:tc>
        <w:tc>
          <w:tcPr>
            <w:tcW w:w="451" w:type="dxa"/>
            <w:vAlign w:val="top"/>
          </w:tcPr>
          <w:p>
            <w:pPr>
              <w:spacing w:before="70"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7" w:line="213" w:lineRule="auto"/>
              <w:ind w:left="114"/>
            </w:pPr>
            <w:r>
              <w:rPr>
                <w:spacing w:val="7"/>
              </w:rPr>
              <w:t>个人卫生设施略有不足。</w:t>
            </w:r>
          </w:p>
        </w:tc>
        <w:tc>
          <w:tcPr>
            <w:tcW w:w="451" w:type="dxa"/>
            <w:vAlign w:val="top"/>
          </w:tcPr>
          <w:p>
            <w:pPr>
              <w:spacing w:before="72"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298" w:line="224" w:lineRule="auto"/>
              <w:ind w:left="114"/>
            </w:pPr>
            <w:r>
              <w:rPr>
                <w:spacing w:val="8"/>
              </w:rPr>
              <w:t>个人卫生设施严重不符合要求。</w:t>
            </w:r>
          </w:p>
        </w:tc>
        <w:tc>
          <w:tcPr>
            <w:tcW w:w="451" w:type="dxa"/>
            <w:vAlign w:val="top"/>
          </w:tcPr>
          <w:p>
            <w:pPr>
              <w:spacing w:line="274"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2" w:type="default"/>
          <w:pgSz w:w="15840" w:h="12240"/>
          <w:pgMar w:top="1040" w:right="1332" w:bottom="897" w:left="1327" w:header="0" w:footer="724" w:gutter="0"/>
          <w:cols w:space="720" w:num="1"/>
        </w:sectPr>
      </w:pPr>
    </w:p>
    <w:p>
      <w:pPr>
        <w:spacing w:before="12"/>
      </w:pPr>
    </w:p>
    <w:p>
      <w:pPr>
        <w:spacing w:before="12"/>
      </w:pPr>
    </w:p>
    <w:p>
      <w:pPr>
        <w:spacing w:before="11"/>
      </w:pPr>
    </w:p>
    <w:tbl>
      <w:tblPr>
        <w:tblStyle w:val="5"/>
        <w:tblW w:w="13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735"/>
        <w:gridCol w:w="4365"/>
        <w:gridCol w:w="4528"/>
        <w:gridCol w:w="451"/>
        <w:gridCol w:w="1109"/>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84" w:type="dxa"/>
            <w:textDirection w:val="tbRlV"/>
            <w:vAlign w:val="top"/>
          </w:tcPr>
          <w:p>
            <w:pPr>
              <w:spacing w:before="185"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7" w:line="234" w:lineRule="auto"/>
              <w:ind w:left="160" w:right="159"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5" w:type="dxa"/>
            <w:vAlign w:val="top"/>
          </w:tcPr>
          <w:p>
            <w:pPr>
              <w:spacing w:before="171" w:line="231" w:lineRule="auto"/>
              <w:ind w:left="1764"/>
              <w:rPr>
                <w:rFonts w:ascii="黑体" w:hAnsi="黑体" w:eastAsia="黑体" w:cs="黑体"/>
                <w:sz w:val="20"/>
                <w:szCs w:val="20"/>
              </w:rPr>
            </w:pPr>
            <w:r>
              <w:rPr>
                <w:rFonts w:ascii="黑体" w:hAnsi="黑体" w:eastAsia="黑体" w:cs="黑体"/>
                <w:spacing w:val="7"/>
                <w:sz w:val="20"/>
                <w:szCs w:val="20"/>
              </w:rPr>
              <w:t>核查内容</w:t>
            </w:r>
          </w:p>
        </w:tc>
        <w:tc>
          <w:tcPr>
            <w:tcW w:w="4979" w:type="dxa"/>
            <w:gridSpan w:val="2"/>
            <w:vAlign w:val="top"/>
          </w:tcPr>
          <w:p>
            <w:pPr>
              <w:spacing w:before="171" w:line="230" w:lineRule="auto"/>
              <w:ind w:left="2075"/>
              <w:rPr>
                <w:rFonts w:ascii="黑体" w:hAnsi="黑体" w:eastAsia="黑体" w:cs="黑体"/>
                <w:sz w:val="20"/>
                <w:szCs w:val="20"/>
              </w:rPr>
            </w:pPr>
            <w:r>
              <w:rPr>
                <w:rFonts w:ascii="黑体" w:hAnsi="黑体" w:eastAsia="黑体" w:cs="黑体"/>
                <w:spacing w:val="7"/>
                <w:sz w:val="20"/>
                <w:szCs w:val="20"/>
              </w:rPr>
              <w:t>评分标准</w:t>
            </w:r>
          </w:p>
        </w:tc>
        <w:tc>
          <w:tcPr>
            <w:tcW w:w="1109" w:type="dxa"/>
            <w:vAlign w:val="top"/>
          </w:tcPr>
          <w:p>
            <w:pPr>
              <w:spacing w:before="171" w:line="231" w:lineRule="auto"/>
              <w:ind w:left="140"/>
              <w:rPr>
                <w:rFonts w:ascii="黑体" w:hAnsi="黑体" w:eastAsia="黑体" w:cs="黑体"/>
                <w:sz w:val="20"/>
                <w:szCs w:val="20"/>
              </w:rPr>
            </w:pPr>
            <w:r>
              <w:rPr>
                <w:rFonts w:ascii="黑体" w:hAnsi="黑体" w:eastAsia="黑体" w:cs="黑体"/>
                <w:spacing w:val="7"/>
                <w:sz w:val="20"/>
                <w:szCs w:val="20"/>
              </w:rPr>
              <w:t>核查得分</w:t>
            </w:r>
          </w:p>
        </w:tc>
        <w:tc>
          <w:tcPr>
            <w:tcW w:w="1403" w:type="dxa"/>
            <w:vAlign w:val="top"/>
          </w:tcPr>
          <w:p>
            <w:pPr>
              <w:spacing w:before="171" w:line="230" w:lineRule="auto"/>
              <w:ind w:left="28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584" w:type="dxa"/>
            <w:vAlign w:val="top"/>
          </w:tcPr>
          <w:p>
            <w:pPr>
              <w:rPr>
                <w:rFonts w:ascii="Arial"/>
                <w:sz w:val="21"/>
              </w:rPr>
            </w:pPr>
          </w:p>
        </w:tc>
        <w:tc>
          <w:tcPr>
            <w:tcW w:w="735" w:type="dxa"/>
            <w:vAlign w:val="top"/>
          </w:tcPr>
          <w:p>
            <w:pPr>
              <w:rPr>
                <w:rFonts w:ascii="Arial"/>
                <w:sz w:val="21"/>
              </w:rPr>
            </w:pPr>
          </w:p>
        </w:tc>
        <w:tc>
          <w:tcPr>
            <w:tcW w:w="4365" w:type="dxa"/>
            <w:vAlign w:val="top"/>
          </w:tcPr>
          <w:p>
            <w:pPr>
              <w:pStyle w:val="6"/>
              <w:spacing w:before="34" w:line="246" w:lineRule="auto"/>
              <w:ind w:left="108" w:right="105" w:firstLine="8"/>
            </w:pPr>
            <w:r>
              <w:rPr>
                <w:spacing w:val="6"/>
              </w:rPr>
              <w:t>量相匹配的非手动式洗手、干手和消毒设施；</w:t>
            </w:r>
            <w:r>
              <w:rPr>
                <w:spacing w:val="16"/>
              </w:rPr>
              <w:t xml:space="preserve"> </w:t>
            </w:r>
            <w:r>
              <w:rPr>
                <w:spacing w:val="7"/>
              </w:rPr>
              <w:t>如有需要，应在作业区内适当位置加设洗手和</w:t>
            </w:r>
            <w:r>
              <w:rPr>
                <w:spacing w:val="4"/>
              </w:rPr>
              <w:t xml:space="preserve"> </w:t>
            </w:r>
            <w:r>
              <w:rPr>
                <w:spacing w:val="7"/>
              </w:rPr>
              <w:t>（或）消毒设施；洗手设施的材质、结构应当</w:t>
            </w:r>
            <w:r>
              <w:rPr>
                <w:spacing w:val="1"/>
              </w:rPr>
              <w:t xml:space="preserve"> </w:t>
            </w:r>
            <w:r>
              <w:rPr>
                <w:spacing w:val="7"/>
              </w:rPr>
              <w:t>易于清洁消毒，临近位置应当标示洗手方法。</w:t>
            </w:r>
            <w:r>
              <w:rPr>
                <w:spacing w:val="5"/>
              </w:rPr>
              <w:t xml:space="preserve"> </w:t>
            </w:r>
            <w:r>
              <w:rPr>
                <w:spacing w:val="7"/>
              </w:rPr>
              <w:t>卫生间应当易于保持清洁，不得与生产、包装</w:t>
            </w:r>
            <w:r>
              <w:rPr>
                <w:spacing w:val="1"/>
              </w:rPr>
              <w:t xml:space="preserve"> </w:t>
            </w:r>
            <w:r>
              <w:rPr>
                <w:spacing w:val="7"/>
              </w:rPr>
              <w:t>或贮存等区域直接连通，卫生间内的适当位置</w:t>
            </w:r>
            <w:r>
              <w:rPr>
                <w:spacing w:val="4"/>
              </w:rPr>
              <w:t xml:space="preserve"> </w:t>
            </w:r>
            <w:r>
              <w:rPr>
                <w:spacing w:val="8"/>
              </w:rPr>
              <w:t>应当设置洗手设施。</w:t>
            </w:r>
          </w:p>
        </w:tc>
        <w:tc>
          <w:tcPr>
            <w:tcW w:w="4528" w:type="dxa"/>
            <w:vAlign w:val="top"/>
          </w:tcPr>
          <w:p>
            <w:pPr>
              <w:rPr>
                <w:rFonts w:ascii="Arial"/>
                <w:sz w:val="21"/>
              </w:rPr>
            </w:pPr>
          </w:p>
        </w:tc>
        <w:tc>
          <w:tcPr>
            <w:tcW w:w="451" w:type="dxa"/>
            <w:vAlign w:val="top"/>
          </w:tcPr>
          <w:p>
            <w:pPr>
              <w:rPr>
                <w:rFonts w:ascii="Arial"/>
                <w:sz w:val="21"/>
              </w:rPr>
            </w:pP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315" w:lineRule="auto"/>
              <w:rPr>
                <w:rFonts w:ascii="Arial"/>
                <w:sz w:val="21"/>
              </w:rPr>
            </w:pPr>
          </w:p>
          <w:p>
            <w:pPr>
              <w:spacing w:line="316" w:lineRule="auto"/>
              <w:rPr>
                <w:rFonts w:ascii="Arial"/>
                <w:sz w:val="21"/>
              </w:rPr>
            </w:pPr>
          </w:p>
          <w:p>
            <w:pPr>
              <w:spacing w:before="57"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735" w:type="dxa"/>
            <w:vMerge w:val="restart"/>
            <w:tcBorders>
              <w:bottom w:val="nil"/>
            </w:tcBorders>
            <w:vAlign w:val="top"/>
          </w:tcPr>
          <w:p>
            <w:pPr>
              <w:spacing w:line="452" w:lineRule="auto"/>
              <w:rPr>
                <w:rFonts w:ascii="Arial"/>
                <w:sz w:val="21"/>
              </w:rPr>
            </w:pPr>
          </w:p>
          <w:p>
            <w:pPr>
              <w:pStyle w:val="6"/>
              <w:spacing w:before="65" w:line="239" w:lineRule="auto"/>
              <w:ind w:left="160" w:right="159" w:firstLine="5"/>
            </w:pPr>
            <w:r>
              <w:rPr>
                <w:spacing w:val="2"/>
              </w:rPr>
              <w:t>通风</w:t>
            </w:r>
            <w:r>
              <w:t xml:space="preserve"> </w:t>
            </w:r>
            <w:r>
              <w:rPr>
                <w:spacing w:val="4"/>
              </w:rPr>
              <w:t>设施</w:t>
            </w:r>
          </w:p>
        </w:tc>
        <w:tc>
          <w:tcPr>
            <w:tcW w:w="4365" w:type="dxa"/>
            <w:vMerge w:val="restart"/>
            <w:tcBorders>
              <w:bottom w:val="nil"/>
            </w:tcBorders>
            <w:vAlign w:val="top"/>
          </w:tcPr>
          <w:p>
            <w:pPr>
              <w:pStyle w:val="6"/>
              <w:spacing w:before="111" w:line="246" w:lineRule="auto"/>
              <w:ind w:left="110" w:right="106" w:firstLine="6"/>
            </w:pPr>
            <w:r>
              <w:rPr>
                <w:spacing w:val="6"/>
              </w:rPr>
              <w:t>应当具有适宜的通风设施，进气口位置合理，</w:t>
            </w:r>
            <w:r>
              <w:rPr>
                <w:spacing w:val="15"/>
              </w:rPr>
              <w:t xml:space="preserve"> </w:t>
            </w:r>
            <w:r>
              <w:rPr>
                <w:spacing w:val="9"/>
              </w:rPr>
              <w:t>避免空气从清洁程度要求低的作业区域流向</w:t>
            </w:r>
            <w:r>
              <w:rPr>
                <w:spacing w:val="5"/>
              </w:rPr>
              <w:t xml:space="preserve">  </w:t>
            </w:r>
            <w:r>
              <w:rPr>
                <w:spacing w:val="7"/>
              </w:rPr>
              <w:t>清洁程度要求高的作业区域。必要时应当安装</w:t>
            </w:r>
            <w:r>
              <w:rPr>
                <w:spacing w:val="2"/>
              </w:rPr>
              <w:t xml:space="preserve"> </w:t>
            </w:r>
            <w:r>
              <w:rPr>
                <w:spacing w:val="7"/>
              </w:rPr>
              <w:t>空气过滤装置和除尘设施。通风设施应当易于</w:t>
            </w:r>
            <w:r>
              <w:t xml:space="preserve"> </w:t>
            </w:r>
            <w:r>
              <w:rPr>
                <w:spacing w:val="8"/>
              </w:rPr>
              <w:t>清洁、维修或更换，能防止虫害侵入。</w:t>
            </w:r>
          </w:p>
        </w:tc>
        <w:tc>
          <w:tcPr>
            <w:tcW w:w="4528" w:type="dxa"/>
            <w:vAlign w:val="top"/>
          </w:tcPr>
          <w:p>
            <w:pPr>
              <w:pStyle w:val="6"/>
              <w:spacing w:before="34" w:line="215" w:lineRule="auto"/>
              <w:ind w:left="118"/>
            </w:pPr>
            <w:r>
              <w:rPr>
                <w:spacing w:val="6"/>
              </w:rPr>
              <w:t>符合规定要求。</w:t>
            </w:r>
          </w:p>
        </w:tc>
        <w:tc>
          <w:tcPr>
            <w:tcW w:w="451" w:type="dxa"/>
            <w:vAlign w:val="top"/>
          </w:tcPr>
          <w:p>
            <w:pPr>
              <w:spacing w:before="68"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5" w:line="215" w:lineRule="auto"/>
              <w:ind w:left="117"/>
            </w:pPr>
            <w:r>
              <w:rPr>
                <w:spacing w:val="7"/>
              </w:rPr>
              <w:t>通风设施略有不足。</w:t>
            </w:r>
          </w:p>
        </w:tc>
        <w:tc>
          <w:tcPr>
            <w:tcW w:w="451" w:type="dxa"/>
            <w:vAlign w:val="top"/>
          </w:tcPr>
          <w:p>
            <w:pPr>
              <w:spacing w:before="70"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238" w:line="238" w:lineRule="auto"/>
              <w:ind w:left="119" w:right="105" w:hanging="2"/>
            </w:pPr>
            <w:r>
              <w:rPr>
                <w:spacing w:val="4"/>
              </w:rPr>
              <w:t>通风设施严重不足，不能满足必要的空气过滤净</w:t>
            </w:r>
            <w:r>
              <w:rPr>
                <w:spacing w:val="14"/>
              </w:rPr>
              <w:t xml:space="preserve"> </w:t>
            </w:r>
            <w:r>
              <w:rPr>
                <w:spacing w:val="8"/>
              </w:rPr>
              <w:t>化、除尘、防止虫害侵入的需求。</w:t>
            </w:r>
          </w:p>
        </w:tc>
        <w:tc>
          <w:tcPr>
            <w:tcW w:w="451" w:type="dxa"/>
            <w:vAlign w:val="top"/>
          </w:tcPr>
          <w:p>
            <w:pPr>
              <w:spacing w:line="348"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344" w:lineRule="auto"/>
              <w:rPr>
                <w:rFonts w:ascii="Arial"/>
                <w:sz w:val="21"/>
              </w:rPr>
            </w:pPr>
          </w:p>
          <w:p>
            <w:pPr>
              <w:spacing w:line="344" w:lineRule="auto"/>
              <w:rPr>
                <w:rFonts w:ascii="Arial"/>
                <w:sz w:val="21"/>
              </w:rPr>
            </w:pPr>
          </w:p>
          <w:p>
            <w:pPr>
              <w:spacing w:before="57"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735" w:type="dxa"/>
            <w:vMerge w:val="restart"/>
            <w:tcBorders>
              <w:bottom w:val="nil"/>
            </w:tcBorders>
            <w:vAlign w:val="top"/>
          </w:tcPr>
          <w:p>
            <w:pPr>
              <w:spacing w:line="254" w:lineRule="auto"/>
              <w:rPr>
                <w:rFonts w:ascii="Arial"/>
                <w:sz w:val="21"/>
              </w:rPr>
            </w:pPr>
          </w:p>
          <w:p>
            <w:pPr>
              <w:spacing w:line="255" w:lineRule="auto"/>
              <w:rPr>
                <w:rFonts w:ascii="Arial"/>
                <w:sz w:val="21"/>
              </w:rPr>
            </w:pPr>
          </w:p>
          <w:p>
            <w:pPr>
              <w:pStyle w:val="6"/>
              <w:spacing w:before="65" w:line="239" w:lineRule="auto"/>
              <w:ind w:left="160" w:right="159" w:firstLine="15"/>
            </w:pPr>
            <w:r>
              <w:rPr>
                <w:spacing w:val="-3"/>
              </w:rPr>
              <w:t>照明</w:t>
            </w:r>
            <w:r>
              <w:t xml:space="preserve"> </w:t>
            </w:r>
            <w:r>
              <w:rPr>
                <w:spacing w:val="4"/>
              </w:rPr>
              <w:t>设施</w:t>
            </w:r>
          </w:p>
        </w:tc>
        <w:tc>
          <w:tcPr>
            <w:tcW w:w="4365" w:type="dxa"/>
            <w:vMerge w:val="restart"/>
            <w:tcBorders>
              <w:bottom w:val="nil"/>
            </w:tcBorders>
            <w:vAlign w:val="top"/>
          </w:tcPr>
          <w:p>
            <w:pPr>
              <w:pStyle w:val="6"/>
              <w:spacing w:before="34" w:line="245" w:lineRule="auto"/>
              <w:ind w:left="109" w:right="43" w:firstLine="8"/>
            </w:pPr>
            <w:r>
              <w:rPr>
                <w:spacing w:val="6"/>
              </w:rPr>
              <w:t>厂房内应当有充足的自然采光或人工照明，光</w:t>
            </w:r>
            <w:r>
              <w:rPr>
                <w:spacing w:val="15"/>
              </w:rPr>
              <w:t xml:space="preserve"> </w:t>
            </w:r>
            <w:r>
              <w:rPr>
                <w:spacing w:val="7"/>
              </w:rPr>
              <w:t>泽和亮度应能满足生产和操作需要，光源应能</w:t>
            </w:r>
            <w:r>
              <w:t xml:space="preserve"> 使物料呈现真实的颜色。在暴露原料、半成品、</w:t>
            </w:r>
            <w:r>
              <w:rPr>
                <w:spacing w:val="5"/>
              </w:rPr>
              <w:t xml:space="preserve"> </w:t>
            </w:r>
            <w:r>
              <w:rPr>
                <w:spacing w:val="9"/>
              </w:rPr>
              <w:t>成品正上方的照明设施应当使用安全型或有</w:t>
            </w:r>
            <w:r>
              <w:rPr>
                <w:spacing w:val="3"/>
              </w:rPr>
              <w:t xml:space="preserve">   </w:t>
            </w:r>
            <w:r>
              <w:rPr>
                <w:spacing w:val="7"/>
              </w:rPr>
              <w:t>防护措施的照明设施；如需要，还应当配备应</w:t>
            </w:r>
            <w:r>
              <w:t xml:space="preserve"> </w:t>
            </w:r>
            <w:r>
              <w:rPr>
                <w:spacing w:val="7"/>
              </w:rPr>
              <w:t>急照明设施。</w:t>
            </w:r>
          </w:p>
        </w:tc>
        <w:tc>
          <w:tcPr>
            <w:tcW w:w="4528" w:type="dxa"/>
            <w:vAlign w:val="top"/>
          </w:tcPr>
          <w:p>
            <w:pPr>
              <w:pStyle w:val="6"/>
              <w:spacing w:before="33" w:line="216" w:lineRule="auto"/>
              <w:ind w:left="118"/>
            </w:pPr>
            <w:r>
              <w:rPr>
                <w:spacing w:val="6"/>
              </w:rPr>
              <w:t>符合规定要求。</w:t>
            </w:r>
          </w:p>
        </w:tc>
        <w:tc>
          <w:tcPr>
            <w:tcW w:w="451" w:type="dxa"/>
            <w:vAlign w:val="top"/>
          </w:tcPr>
          <w:p>
            <w:pPr>
              <w:spacing w:before="68"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144" w:line="237" w:lineRule="auto"/>
              <w:ind w:left="125" w:right="105" w:firstLine="2"/>
            </w:pPr>
            <w:r>
              <w:rPr>
                <w:spacing w:val="4"/>
              </w:rPr>
              <w:t xml:space="preserve">照明设施或者防护措施略有不足，光泽和亮度略 </w:t>
            </w:r>
            <w:r>
              <w:rPr>
                <w:spacing w:val="7"/>
              </w:rPr>
              <w:t>显不足，或改变物料真实颜色。</w:t>
            </w:r>
          </w:p>
        </w:tc>
        <w:tc>
          <w:tcPr>
            <w:tcW w:w="451" w:type="dxa"/>
            <w:vAlign w:val="top"/>
          </w:tcPr>
          <w:p>
            <w:pPr>
              <w:spacing w:line="257" w:lineRule="auto"/>
              <w:rPr>
                <w:rFonts w:ascii="Arial"/>
                <w:sz w:val="21"/>
              </w:rPr>
            </w:pPr>
          </w:p>
          <w:p>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187" w:line="225" w:lineRule="auto"/>
              <w:ind w:left="128"/>
            </w:pPr>
            <w:r>
              <w:rPr>
                <w:spacing w:val="7"/>
              </w:rPr>
              <w:t>照明设施或者防护措施严重不足。</w:t>
            </w:r>
          </w:p>
        </w:tc>
        <w:tc>
          <w:tcPr>
            <w:tcW w:w="451" w:type="dxa"/>
            <w:vAlign w:val="top"/>
          </w:tcPr>
          <w:p>
            <w:pPr>
              <w:spacing w:before="222"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294" w:lineRule="auto"/>
              <w:rPr>
                <w:rFonts w:ascii="Arial"/>
                <w:sz w:val="21"/>
              </w:rPr>
            </w:pPr>
          </w:p>
          <w:p>
            <w:pPr>
              <w:spacing w:before="57"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735" w:type="dxa"/>
            <w:vMerge w:val="restart"/>
            <w:tcBorders>
              <w:bottom w:val="nil"/>
            </w:tcBorders>
            <w:vAlign w:val="top"/>
          </w:tcPr>
          <w:p>
            <w:pPr>
              <w:pStyle w:val="6"/>
              <w:spacing w:before="181" w:line="239" w:lineRule="auto"/>
              <w:ind w:left="160" w:right="159" w:firstLine="11"/>
            </w:pPr>
            <w:r>
              <w:rPr>
                <w:spacing w:val="-1"/>
              </w:rPr>
              <w:t>温控</w:t>
            </w:r>
            <w:r>
              <w:t xml:space="preserve"> </w:t>
            </w:r>
            <w:r>
              <w:rPr>
                <w:spacing w:val="4"/>
              </w:rPr>
              <w:t>设施</w:t>
            </w:r>
          </w:p>
        </w:tc>
        <w:tc>
          <w:tcPr>
            <w:tcW w:w="4365" w:type="dxa"/>
            <w:vMerge w:val="restart"/>
            <w:tcBorders>
              <w:bottom w:val="nil"/>
            </w:tcBorders>
            <w:vAlign w:val="top"/>
          </w:tcPr>
          <w:p>
            <w:pPr>
              <w:pStyle w:val="6"/>
              <w:spacing w:before="180" w:line="238" w:lineRule="auto"/>
              <w:ind w:left="114" w:right="43" w:firstLine="2"/>
            </w:pPr>
            <w:r>
              <w:t>应当根据生产的需要，配备适宜的加热、冷</w:t>
            </w:r>
            <w:r>
              <w:rPr>
                <w:spacing w:val="-1"/>
              </w:rPr>
              <w:t>却、</w:t>
            </w:r>
            <w:r>
              <w:t xml:space="preserve"> </w:t>
            </w:r>
            <w:r>
              <w:rPr>
                <w:spacing w:val="8"/>
              </w:rPr>
              <w:t>冷冻以及用于监测温度和控制室温的设施。</w:t>
            </w:r>
          </w:p>
        </w:tc>
        <w:tc>
          <w:tcPr>
            <w:tcW w:w="4528" w:type="dxa"/>
            <w:vAlign w:val="top"/>
          </w:tcPr>
          <w:p>
            <w:pPr>
              <w:pStyle w:val="6"/>
              <w:spacing w:before="35" w:line="214" w:lineRule="auto"/>
              <w:ind w:left="118"/>
            </w:pPr>
            <w:r>
              <w:rPr>
                <w:spacing w:val="6"/>
              </w:rPr>
              <w:t>符合规定要求。</w:t>
            </w:r>
          </w:p>
        </w:tc>
        <w:tc>
          <w:tcPr>
            <w:tcW w:w="451" w:type="dxa"/>
            <w:vAlign w:val="top"/>
          </w:tcPr>
          <w:p>
            <w:pPr>
              <w:spacing w:before="70"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4"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65" w:type="dxa"/>
            <w:vMerge w:val="continue"/>
            <w:tcBorders>
              <w:top w:val="nil"/>
              <w:bottom w:val="nil"/>
            </w:tcBorders>
            <w:vAlign w:val="top"/>
          </w:tcPr>
          <w:p>
            <w:pPr>
              <w:rPr>
                <w:rFonts w:ascii="Arial"/>
                <w:sz w:val="21"/>
              </w:rPr>
            </w:pPr>
          </w:p>
        </w:tc>
        <w:tc>
          <w:tcPr>
            <w:tcW w:w="4528" w:type="dxa"/>
            <w:vAlign w:val="top"/>
          </w:tcPr>
          <w:p>
            <w:pPr>
              <w:pStyle w:val="6"/>
              <w:spacing w:before="36" w:line="214" w:lineRule="auto"/>
              <w:ind w:left="124"/>
            </w:pPr>
            <w:r>
              <w:rPr>
                <w:spacing w:val="7"/>
              </w:rPr>
              <w:t>温控或监测设施略有不足。</w:t>
            </w:r>
          </w:p>
        </w:tc>
        <w:tc>
          <w:tcPr>
            <w:tcW w:w="451" w:type="dxa"/>
            <w:vAlign w:val="top"/>
          </w:tcPr>
          <w:p>
            <w:pPr>
              <w:spacing w:before="71"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37" w:line="212" w:lineRule="auto"/>
              <w:ind w:left="124"/>
            </w:pPr>
            <w:r>
              <w:rPr>
                <w:spacing w:val="7"/>
              </w:rPr>
              <w:t>温控或监测设施严重不足。</w:t>
            </w:r>
          </w:p>
        </w:tc>
        <w:tc>
          <w:tcPr>
            <w:tcW w:w="451" w:type="dxa"/>
            <w:vAlign w:val="top"/>
          </w:tcPr>
          <w:p>
            <w:pPr>
              <w:spacing w:before="71"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4" w:type="dxa"/>
            <w:vMerge w:val="restart"/>
            <w:tcBorders>
              <w:bottom w:val="nil"/>
            </w:tcBorders>
            <w:vAlign w:val="top"/>
          </w:tcPr>
          <w:p>
            <w:pPr>
              <w:spacing w:line="423" w:lineRule="auto"/>
              <w:rPr>
                <w:rFonts w:ascii="Arial"/>
                <w:sz w:val="21"/>
              </w:rPr>
            </w:pPr>
          </w:p>
          <w:p>
            <w:pPr>
              <w:spacing w:before="57" w:line="195" w:lineRule="auto"/>
              <w:ind w:left="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735" w:type="dxa"/>
            <w:vMerge w:val="restart"/>
            <w:tcBorders>
              <w:bottom w:val="nil"/>
            </w:tcBorders>
            <w:vAlign w:val="top"/>
          </w:tcPr>
          <w:p>
            <w:pPr>
              <w:pStyle w:val="6"/>
              <w:spacing w:before="175" w:line="243" w:lineRule="auto"/>
              <w:ind w:left="160" w:right="159" w:hanging="2"/>
              <w:jc w:val="both"/>
            </w:pPr>
            <w:r>
              <w:rPr>
                <w:spacing w:val="6"/>
              </w:rPr>
              <w:t>检验</w:t>
            </w:r>
            <w:r>
              <w:t xml:space="preserve"> </w:t>
            </w:r>
            <w:r>
              <w:rPr>
                <w:spacing w:val="4"/>
              </w:rPr>
              <w:t>设备</w:t>
            </w:r>
            <w:r>
              <w:t xml:space="preserve"> </w:t>
            </w:r>
            <w:r>
              <w:rPr>
                <w:spacing w:val="4"/>
              </w:rPr>
              <w:t>设施</w:t>
            </w:r>
          </w:p>
        </w:tc>
        <w:tc>
          <w:tcPr>
            <w:tcW w:w="4365" w:type="dxa"/>
            <w:vMerge w:val="restart"/>
            <w:tcBorders>
              <w:bottom w:val="nil"/>
            </w:tcBorders>
            <w:vAlign w:val="top"/>
          </w:tcPr>
          <w:p>
            <w:pPr>
              <w:pStyle w:val="6"/>
              <w:spacing w:before="38" w:line="244" w:lineRule="auto"/>
              <w:ind w:left="112" w:right="106" w:firstLine="37"/>
              <w:jc w:val="both"/>
            </w:pPr>
            <w:r>
              <w:rPr>
                <w:spacing w:val="5"/>
              </w:rPr>
              <w:t>自行检验或部分自行检验的，应当具备与所检</w:t>
            </w:r>
            <w:r>
              <w:rPr>
                <w:spacing w:val="3"/>
              </w:rPr>
              <w:t xml:space="preserve"> </w:t>
            </w:r>
            <w:r>
              <w:rPr>
                <w:spacing w:val="6"/>
              </w:rPr>
              <w:t>项目相适应的检验室、检验仪器设备和检验试</w:t>
            </w:r>
            <w:r>
              <w:rPr>
                <w:spacing w:val="18"/>
              </w:rPr>
              <w:t xml:space="preserve"> </w:t>
            </w:r>
            <w:r>
              <w:rPr>
                <w:spacing w:val="6"/>
              </w:rPr>
              <w:t>剂。检验室应当布局合理，检验仪器设备的数</w:t>
            </w:r>
            <w:r>
              <w:rPr>
                <w:spacing w:val="18"/>
              </w:rPr>
              <w:t xml:space="preserve"> </w:t>
            </w:r>
            <w:r>
              <w:rPr>
                <w:spacing w:val="7"/>
              </w:rPr>
              <w:t>量、性能、精度应当满足相应的检验需求，检</w:t>
            </w:r>
          </w:p>
        </w:tc>
        <w:tc>
          <w:tcPr>
            <w:tcW w:w="4528" w:type="dxa"/>
            <w:vAlign w:val="top"/>
          </w:tcPr>
          <w:p>
            <w:pPr>
              <w:pStyle w:val="6"/>
              <w:spacing w:before="35" w:line="214" w:lineRule="auto"/>
              <w:ind w:left="118"/>
            </w:pPr>
            <w:r>
              <w:rPr>
                <w:spacing w:val="6"/>
              </w:rPr>
              <w:t>符合规定要求。</w:t>
            </w:r>
          </w:p>
        </w:tc>
        <w:tc>
          <w:tcPr>
            <w:tcW w:w="451" w:type="dxa"/>
            <w:vAlign w:val="top"/>
          </w:tcPr>
          <w:p>
            <w:pPr>
              <w:spacing w:before="70" w:line="195" w:lineRule="auto"/>
              <w:ind w:left="18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09" w:type="dxa"/>
            <w:vAlign w:val="top"/>
          </w:tcPr>
          <w:p>
            <w:pPr>
              <w:rPr>
                <w:rFonts w:ascii="Arial"/>
                <w:sz w:val="21"/>
              </w:rPr>
            </w:pPr>
          </w:p>
        </w:tc>
        <w:tc>
          <w:tcPr>
            <w:tcW w:w="14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84"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65" w:type="dxa"/>
            <w:vMerge w:val="continue"/>
            <w:tcBorders>
              <w:top w:val="nil"/>
            </w:tcBorders>
            <w:vAlign w:val="top"/>
          </w:tcPr>
          <w:p>
            <w:pPr>
              <w:rPr>
                <w:rFonts w:ascii="Arial"/>
                <w:sz w:val="21"/>
              </w:rPr>
            </w:pPr>
          </w:p>
        </w:tc>
        <w:tc>
          <w:tcPr>
            <w:tcW w:w="4528" w:type="dxa"/>
            <w:vAlign w:val="top"/>
          </w:tcPr>
          <w:p>
            <w:pPr>
              <w:pStyle w:val="6"/>
              <w:spacing w:before="37" w:line="239" w:lineRule="auto"/>
              <w:ind w:left="116" w:right="105" w:hanging="6"/>
              <w:jc w:val="both"/>
            </w:pPr>
            <w:r>
              <w:rPr>
                <w:spacing w:val="5"/>
              </w:rPr>
              <w:t>检验室布局略不合理，或者检验仪器设备性能略</w:t>
            </w:r>
            <w:r>
              <w:rPr>
                <w:spacing w:val="1"/>
              </w:rPr>
              <w:t xml:space="preserve"> </w:t>
            </w:r>
            <w:r>
              <w:rPr>
                <w:spacing w:val="4"/>
              </w:rPr>
              <w:t>有不足，或者个别检验仪器设备未按期检定或校</w:t>
            </w:r>
            <w:r>
              <w:rPr>
                <w:spacing w:val="15"/>
              </w:rPr>
              <w:t xml:space="preserve"> </w:t>
            </w:r>
            <w:r>
              <w:rPr>
                <w:spacing w:val="-2"/>
              </w:rPr>
              <w:t>准。</w:t>
            </w:r>
          </w:p>
        </w:tc>
        <w:tc>
          <w:tcPr>
            <w:tcW w:w="451" w:type="dxa"/>
            <w:vAlign w:val="top"/>
          </w:tcPr>
          <w:p>
            <w:pPr>
              <w:spacing w:line="283" w:lineRule="auto"/>
              <w:rPr>
                <w:rFonts w:ascii="Arial"/>
                <w:sz w:val="21"/>
              </w:rPr>
            </w:pPr>
          </w:p>
          <w:p>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9" w:type="dxa"/>
            <w:vAlign w:val="top"/>
          </w:tcPr>
          <w:p>
            <w:pPr>
              <w:rPr>
                <w:rFonts w:ascii="Arial"/>
                <w:sz w:val="21"/>
              </w:rPr>
            </w:pPr>
          </w:p>
        </w:tc>
        <w:tc>
          <w:tcPr>
            <w:tcW w:w="140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3" w:type="default"/>
          <w:pgSz w:w="15840" w:h="12240"/>
          <w:pgMar w:top="1040" w:right="1332" w:bottom="897" w:left="1327" w:header="0" w:footer="724" w:gutter="0"/>
          <w:cols w:space="720" w:num="1"/>
        </w:sectPr>
      </w:pPr>
    </w:p>
    <w:p>
      <w:pPr>
        <w:spacing w:before="12"/>
      </w:pPr>
    </w:p>
    <w:p>
      <w:pPr>
        <w:spacing w:before="12"/>
      </w:pPr>
    </w:p>
    <w:p>
      <w:pPr>
        <w:spacing w:before="11"/>
      </w:pPr>
    </w:p>
    <w:tbl>
      <w:tblPr>
        <w:tblStyle w:val="5"/>
        <w:tblW w:w="13175"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735"/>
        <w:gridCol w:w="4365"/>
        <w:gridCol w:w="4528"/>
        <w:gridCol w:w="451"/>
        <w:gridCol w:w="1109"/>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84" w:type="dxa"/>
            <w:textDirection w:val="tbRlV"/>
            <w:vAlign w:val="top"/>
          </w:tcPr>
          <w:p>
            <w:pPr>
              <w:spacing w:before="185"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8" w:line="233" w:lineRule="auto"/>
              <w:ind w:left="160" w:right="159"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5" w:type="dxa"/>
            <w:vAlign w:val="top"/>
          </w:tcPr>
          <w:p>
            <w:pPr>
              <w:spacing w:before="171" w:line="231" w:lineRule="auto"/>
              <w:ind w:left="1764"/>
              <w:rPr>
                <w:rFonts w:ascii="黑体" w:hAnsi="黑体" w:eastAsia="黑体" w:cs="黑体"/>
                <w:sz w:val="20"/>
                <w:szCs w:val="20"/>
              </w:rPr>
            </w:pPr>
            <w:r>
              <w:rPr>
                <w:rFonts w:ascii="黑体" w:hAnsi="黑体" w:eastAsia="黑体" w:cs="黑体"/>
                <w:spacing w:val="7"/>
                <w:sz w:val="20"/>
                <w:szCs w:val="20"/>
              </w:rPr>
              <w:t>核查内容</w:t>
            </w:r>
          </w:p>
        </w:tc>
        <w:tc>
          <w:tcPr>
            <w:tcW w:w="4979" w:type="dxa"/>
            <w:gridSpan w:val="2"/>
            <w:vAlign w:val="top"/>
          </w:tcPr>
          <w:p>
            <w:pPr>
              <w:spacing w:before="171" w:line="230" w:lineRule="auto"/>
              <w:ind w:left="2075"/>
              <w:rPr>
                <w:rFonts w:ascii="黑体" w:hAnsi="黑体" w:eastAsia="黑体" w:cs="黑体"/>
                <w:sz w:val="20"/>
                <w:szCs w:val="20"/>
              </w:rPr>
            </w:pPr>
            <w:r>
              <w:rPr>
                <w:rFonts w:ascii="黑体" w:hAnsi="黑体" w:eastAsia="黑体" w:cs="黑体"/>
                <w:spacing w:val="7"/>
                <w:sz w:val="20"/>
                <w:szCs w:val="20"/>
              </w:rPr>
              <w:t>评分标准</w:t>
            </w:r>
          </w:p>
        </w:tc>
        <w:tc>
          <w:tcPr>
            <w:tcW w:w="1109" w:type="dxa"/>
            <w:vAlign w:val="top"/>
          </w:tcPr>
          <w:p>
            <w:pPr>
              <w:spacing w:before="171" w:line="231" w:lineRule="auto"/>
              <w:ind w:left="140"/>
              <w:rPr>
                <w:rFonts w:ascii="黑体" w:hAnsi="黑体" w:eastAsia="黑体" w:cs="黑体"/>
                <w:sz w:val="20"/>
                <w:szCs w:val="20"/>
              </w:rPr>
            </w:pPr>
            <w:r>
              <w:rPr>
                <w:rFonts w:ascii="黑体" w:hAnsi="黑体" w:eastAsia="黑体" w:cs="黑体"/>
                <w:spacing w:val="7"/>
                <w:sz w:val="20"/>
                <w:szCs w:val="20"/>
              </w:rPr>
              <w:t>核查得分</w:t>
            </w:r>
          </w:p>
        </w:tc>
        <w:tc>
          <w:tcPr>
            <w:tcW w:w="1403" w:type="dxa"/>
            <w:vAlign w:val="top"/>
          </w:tcPr>
          <w:p>
            <w:pPr>
              <w:spacing w:before="171" w:line="230" w:lineRule="auto"/>
              <w:ind w:left="28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584" w:type="dxa"/>
            <w:vAlign w:val="top"/>
          </w:tcPr>
          <w:p>
            <w:pPr>
              <w:rPr>
                <w:rFonts w:ascii="Arial"/>
                <w:sz w:val="21"/>
              </w:rPr>
            </w:pPr>
          </w:p>
        </w:tc>
        <w:tc>
          <w:tcPr>
            <w:tcW w:w="735" w:type="dxa"/>
            <w:vAlign w:val="top"/>
          </w:tcPr>
          <w:p>
            <w:pPr>
              <w:rPr>
                <w:rFonts w:ascii="Arial"/>
                <w:sz w:val="21"/>
              </w:rPr>
            </w:pPr>
          </w:p>
        </w:tc>
        <w:tc>
          <w:tcPr>
            <w:tcW w:w="4365" w:type="dxa"/>
            <w:vAlign w:val="top"/>
          </w:tcPr>
          <w:p>
            <w:pPr>
              <w:pStyle w:val="6"/>
              <w:spacing w:before="32" w:line="223" w:lineRule="auto"/>
              <w:ind w:left="112"/>
            </w:pPr>
            <w:r>
              <w:rPr>
                <w:spacing w:val="8"/>
              </w:rPr>
              <w:t>验仪器设备应当按期检定或校准。</w:t>
            </w:r>
          </w:p>
        </w:tc>
        <w:tc>
          <w:tcPr>
            <w:tcW w:w="4528" w:type="dxa"/>
            <w:vAlign w:val="top"/>
          </w:tcPr>
          <w:p>
            <w:pPr>
              <w:pStyle w:val="6"/>
              <w:spacing w:before="31" w:line="238" w:lineRule="auto"/>
              <w:ind w:left="119" w:right="105" w:firstLine="9"/>
            </w:pPr>
            <w:r>
              <w:rPr>
                <w:rFonts w:ascii="Times New Roman" w:hAnsi="Times New Roman" w:eastAsia="Times New Roman" w:cs="Times New Roman"/>
                <w:spacing w:val="6"/>
              </w:rPr>
              <w:t>1.</w:t>
            </w:r>
            <w:r>
              <w:rPr>
                <w:spacing w:val="6"/>
              </w:rPr>
              <w:t>检验室布局不合理，严重影响检验工作的正常</w:t>
            </w:r>
            <w:r>
              <w:rPr>
                <w:spacing w:val="5"/>
              </w:rPr>
              <w:t xml:space="preserve"> </w:t>
            </w:r>
            <w:r>
              <w:rPr>
                <w:spacing w:val="7"/>
              </w:rPr>
              <w:t>开展或检测数据的准确性。</w:t>
            </w:r>
          </w:p>
          <w:p>
            <w:pPr>
              <w:pStyle w:val="6"/>
              <w:spacing w:before="29" w:line="239" w:lineRule="auto"/>
              <w:ind w:left="123" w:right="105" w:hanging="15"/>
            </w:pPr>
            <w:r>
              <w:rPr>
                <w:rFonts w:ascii="Times New Roman" w:hAnsi="Times New Roman" w:eastAsia="Times New Roman" w:cs="Times New Roman"/>
                <w:spacing w:val="7"/>
              </w:rPr>
              <w:t>2.</w:t>
            </w:r>
            <w:r>
              <w:rPr>
                <w:spacing w:val="7"/>
              </w:rPr>
              <w:t>检验仪器设备数量、性能、精度不能满足检验</w:t>
            </w:r>
            <w:r>
              <w:rPr>
                <w:spacing w:val="3"/>
              </w:rPr>
              <w:t xml:space="preserve"> </w:t>
            </w:r>
            <w:r>
              <w:rPr>
                <w:spacing w:val="-1"/>
              </w:rPr>
              <w:t>需求。</w:t>
            </w:r>
          </w:p>
          <w:p>
            <w:pPr>
              <w:pStyle w:val="6"/>
              <w:spacing w:before="27" w:line="217" w:lineRule="auto"/>
              <w:ind w:left="113"/>
            </w:pPr>
            <w:r>
              <w:rPr>
                <w:rFonts w:ascii="Times New Roman" w:hAnsi="Times New Roman" w:eastAsia="Times New Roman" w:cs="Times New Roman"/>
                <w:spacing w:val="7"/>
              </w:rPr>
              <w:t>3.</w:t>
            </w:r>
            <w:r>
              <w:rPr>
                <w:spacing w:val="7"/>
              </w:rPr>
              <w:t>检验仪器设备未检定或校准。</w:t>
            </w:r>
          </w:p>
        </w:tc>
        <w:tc>
          <w:tcPr>
            <w:tcW w:w="451" w:type="dxa"/>
            <w:vAlign w:val="top"/>
          </w:tcPr>
          <w:p>
            <w:pPr>
              <w:spacing w:line="275" w:lineRule="auto"/>
              <w:rPr>
                <w:rFonts w:ascii="Arial"/>
                <w:sz w:val="21"/>
              </w:rPr>
            </w:pPr>
          </w:p>
          <w:p>
            <w:pPr>
              <w:spacing w:line="276"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09" w:type="dxa"/>
            <w:vAlign w:val="top"/>
          </w:tcPr>
          <w:p>
            <w:pPr>
              <w:rPr>
                <w:rFonts w:ascii="Arial"/>
                <w:sz w:val="21"/>
              </w:rPr>
            </w:pPr>
          </w:p>
        </w:tc>
        <w:tc>
          <w:tcPr>
            <w:tcW w:w="1403" w:type="dxa"/>
            <w:vAlign w:val="top"/>
          </w:tcPr>
          <w:p>
            <w:pPr>
              <w:rPr>
                <w:rFonts w:ascii="Arial"/>
                <w:sz w:val="21"/>
              </w:rPr>
            </w:pPr>
          </w:p>
        </w:tc>
      </w:tr>
    </w:tbl>
    <w:p>
      <w:pPr>
        <w:spacing w:before="287" w:line="226" w:lineRule="auto"/>
        <w:ind w:left="4378"/>
        <w:outlineLvl w:val="0"/>
        <w:rPr>
          <w:rFonts w:ascii="黑体" w:hAnsi="黑体" w:eastAsia="黑体" w:cs="黑体"/>
          <w:sz w:val="31"/>
          <w:szCs w:val="31"/>
        </w:rPr>
      </w:pPr>
      <w:r>
        <w:rPr>
          <w:rFonts w:ascii="黑体" w:hAnsi="黑体" w:eastAsia="黑体" w:cs="黑体"/>
          <w:spacing w:val="5"/>
          <w:sz w:val="31"/>
          <w:szCs w:val="31"/>
        </w:rPr>
        <w:t>三、设备布局和工艺流程（共</w:t>
      </w:r>
      <w:r>
        <w:rPr>
          <w:rFonts w:ascii="黑体" w:hAnsi="黑体" w:eastAsia="黑体" w:cs="黑体"/>
          <w:spacing w:val="-54"/>
          <w:sz w:val="31"/>
          <w:szCs w:val="31"/>
        </w:rPr>
        <w:t xml:space="preserve"> </w:t>
      </w:r>
      <w:r>
        <w:rPr>
          <w:rFonts w:ascii="Times New Roman" w:hAnsi="Times New Roman" w:eastAsia="Times New Roman" w:cs="Times New Roman"/>
          <w:spacing w:val="5"/>
          <w:sz w:val="31"/>
          <w:szCs w:val="31"/>
        </w:rPr>
        <w:t>9</w:t>
      </w:r>
      <w:r>
        <w:rPr>
          <w:rFonts w:ascii="Times New Roman" w:hAnsi="Times New Roman" w:eastAsia="Times New Roman" w:cs="Times New Roman"/>
          <w:spacing w:val="24"/>
          <w:sz w:val="31"/>
          <w:szCs w:val="31"/>
        </w:rPr>
        <w:t xml:space="preserve"> </w:t>
      </w:r>
      <w:r>
        <w:rPr>
          <w:rFonts w:ascii="黑体" w:hAnsi="黑体" w:eastAsia="黑体" w:cs="黑体"/>
          <w:spacing w:val="5"/>
          <w:sz w:val="31"/>
          <w:szCs w:val="31"/>
        </w:rPr>
        <w:t>分）</w:t>
      </w:r>
    </w:p>
    <w:p>
      <w:pPr>
        <w:spacing w:line="93" w:lineRule="exact"/>
      </w:pPr>
    </w:p>
    <w:tbl>
      <w:tblPr>
        <w:tblStyle w:val="5"/>
        <w:tblW w:w="13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735"/>
        <w:gridCol w:w="4348"/>
        <w:gridCol w:w="4573"/>
        <w:gridCol w:w="525"/>
        <w:gridCol w:w="1173"/>
        <w:gridCol w:w="1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90" w:type="dxa"/>
            <w:textDirection w:val="tbRlV"/>
            <w:vAlign w:val="top"/>
          </w:tcPr>
          <w:p>
            <w:pPr>
              <w:spacing w:before="190" w:line="216" w:lineRule="auto"/>
              <w:ind w:left="36"/>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7" w:line="234" w:lineRule="auto"/>
              <w:ind w:left="160" w:right="159"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48" w:type="dxa"/>
            <w:vAlign w:val="top"/>
          </w:tcPr>
          <w:p>
            <w:pPr>
              <w:spacing w:before="170" w:line="231" w:lineRule="auto"/>
              <w:ind w:left="1965"/>
              <w:rPr>
                <w:rFonts w:ascii="黑体" w:hAnsi="黑体" w:eastAsia="黑体" w:cs="黑体"/>
                <w:sz w:val="20"/>
                <w:szCs w:val="20"/>
              </w:rPr>
            </w:pPr>
            <w:r>
              <w:rPr>
                <w:rFonts w:ascii="黑体" w:hAnsi="黑体" w:eastAsia="黑体" w:cs="黑体"/>
                <w:spacing w:val="7"/>
                <w:sz w:val="20"/>
                <w:szCs w:val="20"/>
              </w:rPr>
              <w:t>核查内容</w:t>
            </w:r>
          </w:p>
        </w:tc>
        <w:tc>
          <w:tcPr>
            <w:tcW w:w="5098" w:type="dxa"/>
            <w:gridSpan w:val="2"/>
            <w:vAlign w:val="top"/>
          </w:tcPr>
          <w:p>
            <w:pPr>
              <w:spacing w:before="170" w:line="230" w:lineRule="auto"/>
              <w:ind w:left="2344"/>
              <w:rPr>
                <w:rFonts w:ascii="黑体" w:hAnsi="黑体" w:eastAsia="黑体" w:cs="黑体"/>
                <w:sz w:val="20"/>
                <w:szCs w:val="20"/>
              </w:rPr>
            </w:pPr>
            <w:r>
              <w:rPr>
                <w:rFonts w:ascii="黑体" w:hAnsi="黑体" w:eastAsia="黑体" w:cs="黑体"/>
                <w:spacing w:val="7"/>
                <w:sz w:val="20"/>
                <w:szCs w:val="20"/>
              </w:rPr>
              <w:t>评分标准</w:t>
            </w:r>
          </w:p>
        </w:tc>
        <w:tc>
          <w:tcPr>
            <w:tcW w:w="1173" w:type="dxa"/>
            <w:vAlign w:val="top"/>
          </w:tcPr>
          <w:p>
            <w:pPr>
              <w:spacing w:before="170" w:line="230" w:lineRule="auto"/>
              <w:ind w:left="173"/>
              <w:rPr>
                <w:rFonts w:ascii="黑体" w:hAnsi="黑体" w:eastAsia="黑体" w:cs="黑体"/>
                <w:sz w:val="20"/>
                <w:szCs w:val="20"/>
              </w:rPr>
            </w:pPr>
            <w:r>
              <w:rPr>
                <w:rFonts w:ascii="黑体" w:hAnsi="黑体" w:eastAsia="黑体" w:cs="黑体"/>
                <w:spacing w:val="7"/>
                <w:sz w:val="20"/>
                <w:szCs w:val="20"/>
              </w:rPr>
              <w:t>核查记录</w:t>
            </w:r>
          </w:p>
        </w:tc>
        <w:tc>
          <w:tcPr>
            <w:tcW w:w="1230" w:type="dxa"/>
            <w:vAlign w:val="top"/>
          </w:tcPr>
          <w:p>
            <w:pPr>
              <w:spacing w:before="171" w:line="231" w:lineRule="auto"/>
              <w:ind w:left="200"/>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restart"/>
            <w:tcBorders>
              <w:bottom w:val="nil"/>
            </w:tcBorders>
            <w:vAlign w:val="top"/>
          </w:tcPr>
          <w:p>
            <w:pPr>
              <w:spacing w:line="401" w:lineRule="auto"/>
              <w:rPr>
                <w:rFonts w:ascii="Arial"/>
                <w:sz w:val="21"/>
              </w:rPr>
            </w:pPr>
          </w:p>
          <w:p>
            <w:pPr>
              <w:spacing w:before="57" w:line="195" w:lineRule="auto"/>
              <w:ind w:left="1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735" w:type="dxa"/>
            <w:vMerge w:val="restart"/>
            <w:tcBorders>
              <w:bottom w:val="nil"/>
            </w:tcBorders>
            <w:vAlign w:val="top"/>
          </w:tcPr>
          <w:p>
            <w:pPr>
              <w:pStyle w:val="6"/>
              <w:spacing w:before="286" w:line="241" w:lineRule="auto"/>
              <w:ind w:left="158" w:right="159" w:firstLine="2"/>
            </w:pPr>
            <w:r>
              <w:rPr>
                <w:spacing w:val="4"/>
              </w:rPr>
              <w:t>设备</w:t>
            </w:r>
            <w:r>
              <w:t xml:space="preserve"> </w:t>
            </w:r>
            <w:r>
              <w:rPr>
                <w:spacing w:val="6"/>
              </w:rPr>
              <w:t>布局</w:t>
            </w:r>
          </w:p>
        </w:tc>
        <w:tc>
          <w:tcPr>
            <w:tcW w:w="4348" w:type="dxa"/>
            <w:vMerge w:val="restart"/>
            <w:tcBorders>
              <w:bottom w:val="nil"/>
            </w:tcBorders>
            <w:vAlign w:val="top"/>
          </w:tcPr>
          <w:p>
            <w:pPr>
              <w:pStyle w:val="6"/>
              <w:spacing w:before="31" w:line="243" w:lineRule="auto"/>
              <w:ind w:left="113" w:right="108" w:firstLine="9"/>
              <w:jc w:val="both"/>
            </w:pPr>
            <w:r>
              <w:rPr>
                <w:spacing w:val="5"/>
              </w:rPr>
              <w:t>生产设备应当按照工艺流程有序排列，合理布</w:t>
            </w:r>
            <w:r>
              <w:rPr>
                <w:spacing w:val="10"/>
              </w:rPr>
              <w:t xml:space="preserve"> </w:t>
            </w:r>
            <w:r>
              <w:rPr>
                <w:spacing w:val="6"/>
              </w:rPr>
              <w:t>局，便于清洁、消毒和维修保养，避免交叉污</w:t>
            </w:r>
            <w:r>
              <w:t xml:space="preserve"> </w:t>
            </w:r>
            <w:r>
              <w:rPr>
                <w:spacing w:val="-2"/>
              </w:rPr>
              <w:t>染。</w:t>
            </w:r>
          </w:p>
        </w:tc>
        <w:tc>
          <w:tcPr>
            <w:tcW w:w="4573" w:type="dxa"/>
            <w:vAlign w:val="top"/>
          </w:tcPr>
          <w:p>
            <w:pPr>
              <w:pStyle w:val="6"/>
              <w:spacing w:before="32" w:line="224" w:lineRule="auto"/>
              <w:ind w:left="118"/>
            </w:pPr>
            <w:r>
              <w:rPr>
                <w:spacing w:val="6"/>
              </w:rPr>
              <w:t>符合规定要求。</w:t>
            </w:r>
          </w:p>
        </w:tc>
        <w:tc>
          <w:tcPr>
            <w:tcW w:w="525" w:type="dxa"/>
            <w:vAlign w:val="top"/>
          </w:tcPr>
          <w:p>
            <w:pPr>
              <w:spacing w:before="82"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48" w:type="dxa"/>
            <w:vMerge w:val="continue"/>
            <w:tcBorders>
              <w:top w:val="nil"/>
              <w:bottom w:val="nil"/>
            </w:tcBorders>
            <w:vAlign w:val="top"/>
          </w:tcPr>
          <w:p>
            <w:pPr>
              <w:rPr>
                <w:rFonts w:ascii="Arial"/>
                <w:sz w:val="21"/>
              </w:rPr>
            </w:pPr>
          </w:p>
        </w:tc>
        <w:tc>
          <w:tcPr>
            <w:tcW w:w="4573" w:type="dxa"/>
            <w:vAlign w:val="top"/>
          </w:tcPr>
          <w:p>
            <w:pPr>
              <w:pStyle w:val="6"/>
              <w:spacing w:before="33" w:line="223" w:lineRule="auto"/>
              <w:ind w:left="114"/>
            </w:pPr>
            <w:r>
              <w:rPr>
                <w:spacing w:val="7"/>
              </w:rPr>
              <w:t>个别设备布局不合理。</w:t>
            </w:r>
          </w:p>
        </w:tc>
        <w:tc>
          <w:tcPr>
            <w:tcW w:w="525" w:type="dxa"/>
            <w:vAlign w:val="top"/>
          </w:tcPr>
          <w:p>
            <w:pPr>
              <w:spacing w:before="80"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48" w:type="dxa"/>
            <w:vMerge w:val="continue"/>
            <w:tcBorders>
              <w:top w:val="nil"/>
            </w:tcBorders>
            <w:vAlign w:val="top"/>
          </w:tcPr>
          <w:p>
            <w:pPr>
              <w:rPr>
                <w:rFonts w:ascii="Arial"/>
                <w:sz w:val="21"/>
              </w:rPr>
            </w:pPr>
          </w:p>
        </w:tc>
        <w:tc>
          <w:tcPr>
            <w:tcW w:w="4573" w:type="dxa"/>
            <w:vAlign w:val="top"/>
          </w:tcPr>
          <w:p>
            <w:pPr>
              <w:pStyle w:val="6"/>
              <w:spacing w:before="33" w:line="223" w:lineRule="auto"/>
              <w:ind w:left="112"/>
            </w:pPr>
            <w:r>
              <w:rPr>
                <w:spacing w:val="8"/>
              </w:rPr>
              <w:t>设备布局存在交叉污染。</w:t>
            </w:r>
          </w:p>
        </w:tc>
        <w:tc>
          <w:tcPr>
            <w:tcW w:w="525" w:type="dxa"/>
            <w:vAlign w:val="top"/>
          </w:tcPr>
          <w:p>
            <w:pPr>
              <w:spacing w:before="81"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57" w:line="195" w:lineRule="auto"/>
              <w:ind w:left="170"/>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735" w:type="dxa"/>
            <w:vMerge w:val="restart"/>
            <w:tcBorders>
              <w:bottom w:val="nil"/>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242" w:lineRule="auto"/>
              <w:ind w:left="161" w:right="159" w:firstLine="4"/>
            </w:pPr>
            <w:r>
              <w:rPr>
                <w:spacing w:val="2"/>
              </w:rPr>
              <w:t>工艺</w:t>
            </w:r>
            <w:r>
              <w:t xml:space="preserve"> </w:t>
            </w:r>
            <w:r>
              <w:rPr>
                <w:spacing w:val="4"/>
              </w:rPr>
              <w:t>流程</w:t>
            </w:r>
          </w:p>
        </w:tc>
        <w:tc>
          <w:tcPr>
            <w:tcW w:w="4348" w:type="dxa"/>
            <w:vMerge w:val="restart"/>
            <w:tcBorders>
              <w:bottom w:val="nil"/>
            </w:tcBorders>
            <w:vAlign w:val="top"/>
          </w:tcPr>
          <w:p>
            <w:pPr>
              <w:pStyle w:val="6"/>
              <w:spacing w:before="36" w:line="254" w:lineRule="auto"/>
              <w:ind w:left="109" w:right="108" w:firstLine="16"/>
            </w:pPr>
            <w:r>
              <w:rPr>
                <w:rFonts w:ascii="Times New Roman" w:hAnsi="Times New Roman" w:eastAsia="Times New Roman" w:cs="Times New Roman"/>
                <w:spacing w:val="7"/>
              </w:rPr>
              <w:t>1.</w:t>
            </w:r>
            <w:r>
              <w:rPr>
                <w:spacing w:val="7"/>
              </w:rPr>
              <w:t>应当具备合理的生产工艺流程，防止生产过</w:t>
            </w:r>
            <w:r>
              <w:rPr>
                <w:spacing w:val="10"/>
              </w:rPr>
              <w:t xml:space="preserve"> </w:t>
            </w:r>
            <w:r>
              <w:rPr>
                <w:spacing w:val="6"/>
              </w:rPr>
              <w:t>程中造成交叉污染。应当严格按照食品安全国</w:t>
            </w:r>
            <w:r>
              <w:rPr>
                <w:spacing w:val="3"/>
              </w:rPr>
              <w:t xml:space="preserve"> </w:t>
            </w:r>
            <w:r>
              <w:rPr>
                <w:spacing w:val="9"/>
              </w:rPr>
              <w:t>家标准、国务院卫生行政部门公告规定的原</w:t>
            </w:r>
            <w:r>
              <w:rPr>
                <w:spacing w:val="4"/>
              </w:rPr>
              <w:t xml:space="preserve">  </w:t>
            </w:r>
            <w:r>
              <w:rPr>
                <w:spacing w:val="6"/>
              </w:rPr>
              <w:t>料、工艺组织生产食品添加剂。对于标准、公</w:t>
            </w:r>
            <w:r>
              <w:rPr>
                <w:spacing w:val="3"/>
              </w:rPr>
              <w:t xml:space="preserve"> </w:t>
            </w:r>
            <w:r>
              <w:rPr>
                <w:spacing w:val="6"/>
              </w:rPr>
              <w:t>告未规定原料和工艺的食品添加剂，企业可自</w:t>
            </w:r>
            <w:r>
              <w:rPr>
                <w:spacing w:val="3"/>
              </w:rPr>
              <w:t xml:space="preserve"> </w:t>
            </w:r>
            <w:r>
              <w:rPr>
                <w:spacing w:val="6"/>
              </w:rPr>
              <w:t>行选择合适的原料和工艺，不得使用可能会给</w:t>
            </w:r>
            <w:r>
              <w:rPr>
                <w:spacing w:val="3"/>
              </w:rPr>
              <w:t xml:space="preserve"> </w:t>
            </w:r>
            <w:r>
              <w:rPr>
                <w:spacing w:val="8"/>
              </w:rPr>
              <w:t>人体带来健康风险的生产工艺。</w:t>
            </w:r>
          </w:p>
          <w:p>
            <w:pPr>
              <w:pStyle w:val="6"/>
              <w:spacing w:before="30" w:line="248" w:lineRule="auto"/>
              <w:ind w:left="109" w:right="108" w:firstLine="13"/>
            </w:pPr>
            <w:r>
              <w:rPr>
                <w:spacing w:val="8"/>
              </w:rPr>
              <w:t>生产酶制剂的来源和供体应当符合相应食品</w:t>
            </w:r>
            <w:r>
              <w:rPr>
                <w:spacing w:val="7"/>
              </w:rPr>
              <w:t xml:space="preserve">  </w:t>
            </w:r>
            <w:r>
              <w:rPr>
                <w:spacing w:val="6"/>
              </w:rPr>
              <w:t>安全国家标准、国务院卫生行政部门公告。以</w:t>
            </w:r>
            <w:r>
              <w:rPr>
                <w:spacing w:val="3"/>
              </w:rPr>
              <w:t xml:space="preserve"> </w:t>
            </w:r>
            <w:r>
              <w:rPr>
                <w:spacing w:val="6"/>
              </w:rPr>
              <w:t>半成品或成品为原料生产食品添加剂，应当采</w:t>
            </w:r>
            <w:r>
              <w:rPr>
                <w:spacing w:val="3"/>
              </w:rPr>
              <w:t xml:space="preserve"> </w:t>
            </w:r>
            <w:r>
              <w:rPr>
                <w:spacing w:val="7"/>
              </w:rPr>
              <w:t>用</w:t>
            </w:r>
            <w:r>
              <w:rPr>
                <w:spacing w:val="-54"/>
              </w:rPr>
              <w:t xml:space="preserve"> </w:t>
            </w:r>
            <w:r>
              <w:rPr>
                <w:spacing w:val="7"/>
              </w:rPr>
              <w:t>已取得相应品种食品添加剂生产许可的生</w:t>
            </w:r>
            <w:r>
              <w:t xml:space="preserve">  </w:t>
            </w:r>
            <w:r>
              <w:rPr>
                <w:spacing w:val="6"/>
              </w:rPr>
              <w:t>产企业按食品安全国家标准、国务院卫生行政</w:t>
            </w:r>
            <w:r>
              <w:rPr>
                <w:spacing w:val="3"/>
              </w:rPr>
              <w:t xml:space="preserve"> </w:t>
            </w:r>
            <w:r>
              <w:rPr>
                <w:spacing w:val="9"/>
              </w:rPr>
              <w:t>部门公告规定工艺生产的食品添加剂半成品</w:t>
            </w:r>
            <w:r>
              <w:rPr>
                <w:spacing w:val="4"/>
              </w:rPr>
              <w:t xml:space="preserve">  </w:t>
            </w:r>
            <w:r>
              <w:rPr>
                <w:spacing w:val="5"/>
              </w:rPr>
              <w:t>或成品。</w:t>
            </w:r>
          </w:p>
        </w:tc>
        <w:tc>
          <w:tcPr>
            <w:tcW w:w="4573" w:type="dxa"/>
            <w:vAlign w:val="top"/>
          </w:tcPr>
          <w:p>
            <w:pPr>
              <w:pStyle w:val="6"/>
              <w:spacing w:before="35" w:line="224" w:lineRule="auto"/>
              <w:ind w:left="118"/>
            </w:pPr>
            <w:r>
              <w:rPr>
                <w:spacing w:val="6"/>
              </w:rPr>
              <w:t>符合规定要求。</w:t>
            </w:r>
          </w:p>
        </w:tc>
        <w:tc>
          <w:tcPr>
            <w:tcW w:w="525" w:type="dxa"/>
            <w:vAlign w:val="top"/>
          </w:tcPr>
          <w:p>
            <w:pPr>
              <w:spacing w:before="114"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48" w:type="dxa"/>
            <w:vMerge w:val="continue"/>
            <w:tcBorders>
              <w:top w:val="nil"/>
              <w:bottom w:val="nil"/>
            </w:tcBorders>
            <w:vAlign w:val="top"/>
          </w:tcPr>
          <w:p>
            <w:pPr>
              <w:rPr>
                <w:rFonts w:ascii="Arial"/>
                <w:sz w:val="21"/>
              </w:rPr>
            </w:pPr>
          </w:p>
        </w:tc>
        <w:tc>
          <w:tcPr>
            <w:tcW w:w="4573" w:type="dxa"/>
            <w:vAlign w:val="top"/>
          </w:tcPr>
          <w:p>
            <w:pPr>
              <w:pStyle w:val="6"/>
              <w:spacing w:before="36" w:line="225" w:lineRule="auto"/>
              <w:ind w:left="114"/>
            </w:pPr>
            <w:r>
              <w:rPr>
                <w:spacing w:val="7"/>
              </w:rPr>
              <w:t>个别工艺流程略不合理。</w:t>
            </w:r>
          </w:p>
        </w:tc>
        <w:tc>
          <w:tcPr>
            <w:tcW w:w="52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6" w:hRule="atLeast"/>
        </w:trPr>
        <w:tc>
          <w:tcPr>
            <w:tcW w:w="590"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48" w:type="dxa"/>
            <w:vMerge w:val="continue"/>
            <w:tcBorders>
              <w:top w:val="nil"/>
            </w:tcBorders>
            <w:vAlign w:val="top"/>
          </w:tcPr>
          <w:p>
            <w:pPr>
              <w:rPr>
                <w:rFonts w:ascii="Arial"/>
                <w:sz w:val="21"/>
              </w:rPr>
            </w:pPr>
          </w:p>
        </w:tc>
        <w:tc>
          <w:tcPr>
            <w:tcW w:w="4573" w:type="dxa"/>
            <w:vAlign w:val="top"/>
          </w:tcPr>
          <w:p>
            <w:pPr>
              <w:pStyle w:val="6"/>
              <w:spacing w:before="31" w:line="247" w:lineRule="auto"/>
              <w:ind w:left="112" w:right="107" w:firstLine="16"/>
              <w:jc w:val="both"/>
            </w:pPr>
            <w:r>
              <w:rPr>
                <w:rFonts w:ascii="Times New Roman" w:hAnsi="Times New Roman" w:eastAsia="Times New Roman" w:cs="Times New Roman"/>
                <w:spacing w:val="8"/>
              </w:rPr>
              <w:t>1.</w:t>
            </w:r>
            <w:r>
              <w:rPr>
                <w:spacing w:val="8"/>
              </w:rPr>
              <w:t>原料和工艺流程不符合食品安全国家标准、国</w:t>
            </w:r>
            <w:r>
              <w:rPr>
                <w:spacing w:val="2"/>
              </w:rPr>
              <w:t xml:space="preserve"> </w:t>
            </w:r>
            <w:r>
              <w:rPr>
                <w:spacing w:val="7"/>
              </w:rPr>
              <w:t>务院卫生行政部门公告，或对于标准、公告未规</w:t>
            </w:r>
            <w:r>
              <w:t xml:space="preserve"> </w:t>
            </w:r>
            <w:r>
              <w:rPr>
                <w:spacing w:val="7"/>
              </w:rPr>
              <w:t>定原料和工艺的食品添加剂，企业没有加强生产</w:t>
            </w:r>
            <w:r>
              <w:t xml:space="preserve"> </w:t>
            </w:r>
            <w:r>
              <w:rPr>
                <w:spacing w:val="7"/>
              </w:rPr>
              <w:t>过程管理，使用可能会给人体带来健康风险的生</w:t>
            </w:r>
            <w:r>
              <w:t xml:space="preserve"> </w:t>
            </w:r>
            <w:r>
              <w:rPr>
                <w:spacing w:val="5"/>
              </w:rPr>
              <w:t>产工艺。</w:t>
            </w:r>
          </w:p>
          <w:p>
            <w:pPr>
              <w:pStyle w:val="6"/>
              <w:spacing w:before="26" w:line="238" w:lineRule="auto"/>
              <w:ind w:left="130" w:right="109" w:hanging="21"/>
            </w:pPr>
            <w:r>
              <w:rPr>
                <w:rFonts w:ascii="Times New Roman" w:hAnsi="Times New Roman" w:eastAsia="Times New Roman" w:cs="Times New Roman"/>
                <w:spacing w:val="8"/>
              </w:rPr>
              <w:t>2.</w:t>
            </w:r>
            <w:r>
              <w:rPr>
                <w:rFonts w:ascii="Times New Roman" w:hAnsi="Times New Roman" w:eastAsia="Times New Roman" w:cs="Times New Roman"/>
                <w:spacing w:val="-28"/>
              </w:rPr>
              <w:t xml:space="preserve"> </w:t>
            </w:r>
            <w:r>
              <w:rPr>
                <w:spacing w:val="8"/>
              </w:rPr>
              <w:t>生产酶制剂的来源和供体不符合相应食品安全</w:t>
            </w:r>
            <w:r>
              <w:t xml:space="preserve"> </w:t>
            </w:r>
            <w:r>
              <w:rPr>
                <w:spacing w:val="7"/>
              </w:rPr>
              <w:t>国家标准、国务院卫生行政部门公告。</w:t>
            </w:r>
          </w:p>
          <w:p>
            <w:pPr>
              <w:pStyle w:val="6"/>
              <w:spacing w:before="30" w:line="238" w:lineRule="auto"/>
              <w:ind w:left="111" w:right="109" w:firstLine="2"/>
            </w:pPr>
            <w:r>
              <w:rPr>
                <w:rFonts w:ascii="Times New Roman" w:hAnsi="Times New Roman" w:eastAsia="Times New Roman" w:cs="Times New Roman"/>
                <w:spacing w:val="8"/>
              </w:rPr>
              <w:t>3.</w:t>
            </w:r>
            <w:r>
              <w:rPr>
                <w:spacing w:val="8"/>
              </w:rPr>
              <w:t>工艺流程存在交叉污染，或者不符合产品执行</w:t>
            </w:r>
            <w:r>
              <w:rPr>
                <w:spacing w:val="18"/>
              </w:rPr>
              <w:t xml:space="preserve"> </w:t>
            </w:r>
            <w:r>
              <w:rPr>
                <w:spacing w:val="7"/>
              </w:rPr>
              <w:t>标准的规定。</w:t>
            </w:r>
          </w:p>
          <w:p>
            <w:pPr>
              <w:pStyle w:val="6"/>
              <w:spacing w:before="29" w:line="242" w:lineRule="auto"/>
              <w:ind w:left="111" w:right="101" w:hanging="3"/>
            </w:pPr>
            <w:r>
              <w:rPr>
                <w:rFonts w:ascii="Times New Roman" w:hAnsi="Times New Roman" w:eastAsia="Times New Roman" w:cs="Times New Roman"/>
                <w:spacing w:val="7"/>
              </w:rPr>
              <w:t>4.</w:t>
            </w:r>
            <w:r>
              <w:rPr>
                <w:rFonts w:ascii="Times New Roman" w:hAnsi="Times New Roman" w:eastAsia="Times New Roman" w:cs="Times New Roman"/>
                <w:spacing w:val="-5"/>
              </w:rPr>
              <w:t xml:space="preserve"> </w:t>
            </w:r>
            <w:r>
              <w:rPr>
                <w:spacing w:val="7"/>
              </w:rPr>
              <w:t>以半成品或成品为原料生产食品添加剂，未采</w:t>
            </w:r>
            <w:r>
              <w:t xml:space="preserve"> </w:t>
            </w:r>
            <w:r>
              <w:rPr>
                <w:spacing w:val="7"/>
              </w:rPr>
              <w:t>用</w:t>
            </w:r>
            <w:r>
              <w:rPr>
                <w:spacing w:val="-51"/>
              </w:rPr>
              <w:t xml:space="preserve"> </w:t>
            </w:r>
            <w:r>
              <w:rPr>
                <w:spacing w:val="7"/>
              </w:rPr>
              <w:t>已取得相应品种食品添加剂生产许可的生产</w:t>
            </w:r>
            <w:r>
              <w:t xml:space="preserve">  </w:t>
            </w:r>
            <w:r>
              <w:rPr>
                <w:spacing w:val="7"/>
              </w:rPr>
              <w:t>企业按食品安全国家标准、国务院卫生行政部门</w:t>
            </w:r>
            <w:r>
              <w:rPr>
                <w:spacing w:val="3"/>
              </w:rPr>
              <w:t xml:space="preserve"> </w:t>
            </w:r>
            <w:r>
              <w:rPr>
                <w:spacing w:val="7"/>
              </w:rPr>
              <w:t>公告规定工艺生产的食品添加剂半成品或成品。</w:t>
            </w:r>
          </w:p>
        </w:tc>
        <w:tc>
          <w:tcPr>
            <w:tcW w:w="52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58"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73" w:type="dxa"/>
            <w:vAlign w:val="top"/>
          </w:tcPr>
          <w:p>
            <w:pPr>
              <w:rPr>
                <w:rFonts w:ascii="Arial"/>
                <w:sz w:val="21"/>
              </w:rPr>
            </w:pPr>
          </w:p>
        </w:tc>
        <w:tc>
          <w:tcPr>
            <w:tcW w:w="12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4" w:type="default"/>
          <w:pgSz w:w="15840" w:h="12240"/>
          <w:pgMar w:top="1040" w:right="1332" w:bottom="897" w:left="1321" w:header="0" w:footer="723" w:gutter="0"/>
          <w:cols w:space="720" w:num="1"/>
        </w:sectPr>
      </w:pPr>
    </w:p>
    <w:p>
      <w:pPr>
        <w:spacing w:before="12"/>
      </w:pPr>
    </w:p>
    <w:p>
      <w:pPr>
        <w:spacing w:before="12"/>
      </w:pPr>
    </w:p>
    <w:p>
      <w:pPr>
        <w:spacing w:before="11"/>
      </w:pPr>
    </w:p>
    <w:tbl>
      <w:tblPr>
        <w:tblStyle w:val="5"/>
        <w:tblW w:w="13174"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735"/>
        <w:gridCol w:w="4348"/>
        <w:gridCol w:w="4573"/>
        <w:gridCol w:w="525"/>
        <w:gridCol w:w="1173"/>
        <w:gridCol w:w="1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90" w:type="dxa"/>
            <w:textDirection w:val="tbRlV"/>
            <w:vAlign w:val="top"/>
          </w:tcPr>
          <w:p>
            <w:pPr>
              <w:spacing w:before="190"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8" w:line="233" w:lineRule="auto"/>
              <w:ind w:left="160" w:right="159"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48" w:type="dxa"/>
            <w:vAlign w:val="top"/>
          </w:tcPr>
          <w:p>
            <w:pPr>
              <w:spacing w:before="171" w:line="231" w:lineRule="auto"/>
              <w:ind w:left="1965"/>
              <w:rPr>
                <w:rFonts w:ascii="黑体" w:hAnsi="黑体" w:eastAsia="黑体" w:cs="黑体"/>
                <w:sz w:val="20"/>
                <w:szCs w:val="20"/>
              </w:rPr>
            </w:pPr>
            <w:r>
              <w:rPr>
                <w:rFonts w:ascii="黑体" w:hAnsi="黑体" w:eastAsia="黑体" w:cs="黑体"/>
                <w:spacing w:val="7"/>
                <w:sz w:val="20"/>
                <w:szCs w:val="20"/>
              </w:rPr>
              <w:t>核查内容</w:t>
            </w:r>
          </w:p>
        </w:tc>
        <w:tc>
          <w:tcPr>
            <w:tcW w:w="5098" w:type="dxa"/>
            <w:gridSpan w:val="2"/>
            <w:vAlign w:val="top"/>
          </w:tcPr>
          <w:p>
            <w:pPr>
              <w:spacing w:before="171" w:line="230" w:lineRule="auto"/>
              <w:ind w:left="2344"/>
              <w:rPr>
                <w:rFonts w:ascii="黑体" w:hAnsi="黑体" w:eastAsia="黑体" w:cs="黑体"/>
                <w:sz w:val="20"/>
                <w:szCs w:val="20"/>
              </w:rPr>
            </w:pPr>
            <w:r>
              <w:rPr>
                <w:rFonts w:ascii="黑体" w:hAnsi="黑体" w:eastAsia="黑体" w:cs="黑体"/>
                <w:spacing w:val="7"/>
                <w:sz w:val="20"/>
                <w:szCs w:val="20"/>
              </w:rPr>
              <w:t>评分标准</w:t>
            </w:r>
          </w:p>
        </w:tc>
        <w:tc>
          <w:tcPr>
            <w:tcW w:w="1173" w:type="dxa"/>
            <w:vAlign w:val="top"/>
          </w:tcPr>
          <w:p>
            <w:pPr>
              <w:spacing w:before="171" w:line="230" w:lineRule="auto"/>
              <w:ind w:left="173"/>
              <w:rPr>
                <w:rFonts w:ascii="黑体" w:hAnsi="黑体" w:eastAsia="黑体" w:cs="黑体"/>
                <w:sz w:val="20"/>
                <w:szCs w:val="20"/>
              </w:rPr>
            </w:pPr>
            <w:r>
              <w:rPr>
                <w:rFonts w:ascii="黑体" w:hAnsi="黑体" w:eastAsia="黑体" w:cs="黑体"/>
                <w:spacing w:val="7"/>
                <w:sz w:val="20"/>
                <w:szCs w:val="20"/>
              </w:rPr>
              <w:t>核查记录</w:t>
            </w:r>
          </w:p>
        </w:tc>
        <w:tc>
          <w:tcPr>
            <w:tcW w:w="1230" w:type="dxa"/>
            <w:vAlign w:val="top"/>
          </w:tcPr>
          <w:p>
            <w:pPr>
              <w:spacing w:before="172" w:line="231" w:lineRule="auto"/>
              <w:ind w:left="200"/>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restart"/>
            <w:tcBorders>
              <w:bottom w:val="nil"/>
            </w:tcBorders>
            <w:vAlign w:val="top"/>
          </w:tcPr>
          <w:p>
            <w:pPr>
              <w:rPr>
                <w:rFonts w:ascii="Arial"/>
                <w:sz w:val="21"/>
              </w:rPr>
            </w:pPr>
          </w:p>
        </w:tc>
        <w:tc>
          <w:tcPr>
            <w:tcW w:w="735" w:type="dxa"/>
            <w:vMerge w:val="restart"/>
            <w:tcBorders>
              <w:bottom w:val="nil"/>
            </w:tcBorders>
            <w:vAlign w:val="top"/>
          </w:tcPr>
          <w:p>
            <w:pPr>
              <w:rPr>
                <w:rFonts w:ascii="Arial"/>
                <w:sz w:val="21"/>
              </w:rPr>
            </w:pPr>
          </w:p>
        </w:tc>
        <w:tc>
          <w:tcPr>
            <w:tcW w:w="4348" w:type="dxa"/>
            <w:vMerge w:val="restart"/>
            <w:tcBorders>
              <w:bottom w:val="nil"/>
            </w:tcBorders>
            <w:vAlign w:val="top"/>
          </w:tcPr>
          <w:p>
            <w:pPr>
              <w:pStyle w:val="6"/>
              <w:spacing w:before="45" w:line="248" w:lineRule="auto"/>
              <w:ind w:left="111" w:right="108" w:hanging="6"/>
              <w:jc w:val="both"/>
            </w:pPr>
            <w:r>
              <w:rPr>
                <w:rFonts w:ascii="Times New Roman" w:hAnsi="Times New Roman" w:eastAsia="Times New Roman" w:cs="Times New Roman"/>
                <w:spacing w:val="8"/>
              </w:rPr>
              <w:t>2.</w:t>
            </w:r>
            <w:r>
              <w:rPr>
                <w:spacing w:val="8"/>
              </w:rPr>
              <w:t>应当制定所需的产品配方、工艺规程等工艺</w:t>
            </w:r>
            <w:r>
              <w:rPr>
                <w:spacing w:val="9"/>
              </w:rPr>
              <w:t xml:space="preserve"> </w:t>
            </w:r>
            <w:r>
              <w:rPr>
                <w:spacing w:val="6"/>
              </w:rPr>
              <w:t>文件，明确生产过程中的食品安全关键环节和</w:t>
            </w:r>
            <w:r>
              <w:rPr>
                <w:spacing w:val="1"/>
              </w:rPr>
              <w:t xml:space="preserve"> </w:t>
            </w:r>
            <w:r>
              <w:rPr>
                <w:spacing w:val="5"/>
              </w:rPr>
              <w:t>控制措施。</w:t>
            </w:r>
          </w:p>
        </w:tc>
        <w:tc>
          <w:tcPr>
            <w:tcW w:w="4573" w:type="dxa"/>
            <w:vAlign w:val="top"/>
          </w:tcPr>
          <w:p>
            <w:pPr>
              <w:pStyle w:val="6"/>
              <w:spacing w:before="46" w:line="224" w:lineRule="auto"/>
              <w:ind w:left="118"/>
            </w:pPr>
            <w:r>
              <w:rPr>
                <w:spacing w:val="6"/>
              </w:rPr>
              <w:t>符合规定要求。</w:t>
            </w:r>
          </w:p>
        </w:tc>
        <w:tc>
          <w:tcPr>
            <w:tcW w:w="525" w:type="dxa"/>
            <w:vAlign w:val="top"/>
          </w:tcPr>
          <w:p>
            <w:pPr>
              <w:spacing w:before="81"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48" w:type="dxa"/>
            <w:vMerge w:val="continue"/>
            <w:tcBorders>
              <w:top w:val="nil"/>
              <w:bottom w:val="nil"/>
            </w:tcBorders>
            <w:vAlign w:val="top"/>
          </w:tcPr>
          <w:p>
            <w:pPr>
              <w:rPr>
                <w:rFonts w:ascii="Arial"/>
                <w:sz w:val="21"/>
              </w:rPr>
            </w:pPr>
          </w:p>
        </w:tc>
        <w:tc>
          <w:tcPr>
            <w:tcW w:w="4573" w:type="dxa"/>
            <w:vAlign w:val="top"/>
          </w:tcPr>
          <w:p>
            <w:pPr>
              <w:pStyle w:val="6"/>
              <w:spacing w:before="48" w:line="225" w:lineRule="auto"/>
              <w:ind w:left="117"/>
            </w:pPr>
            <w:r>
              <w:rPr>
                <w:spacing w:val="7"/>
              </w:rPr>
              <w:t>工艺文件略有不足。</w:t>
            </w:r>
          </w:p>
        </w:tc>
        <w:tc>
          <w:tcPr>
            <w:tcW w:w="525" w:type="dxa"/>
            <w:vAlign w:val="top"/>
          </w:tcPr>
          <w:p>
            <w:pPr>
              <w:spacing w:before="83"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73"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90"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48" w:type="dxa"/>
            <w:vMerge w:val="continue"/>
            <w:tcBorders>
              <w:top w:val="nil"/>
            </w:tcBorders>
            <w:vAlign w:val="top"/>
          </w:tcPr>
          <w:p>
            <w:pPr>
              <w:rPr>
                <w:rFonts w:ascii="Arial"/>
                <w:sz w:val="21"/>
              </w:rPr>
            </w:pPr>
          </w:p>
        </w:tc>
        <w:tc>
          <w:tcPr>
            <w:tcW w:w="4573" w:type="dxa"/>
            <w:vAlign w:val="top"/>
          </w:tcPr>
          <w:p>
            <w:pPr>
              <w:pStyle w:val="6"/>
              <w:spacing w:before="49" w:line="223" w:lineRule="auto"/>
              <w:ind w:left="117"/>
            </w:pPr>
            <w:r>
              <w:rPr>
                <w:spacing w:val="8"/>
              </w:rPr>
              <w:t>工艺文件严重不足，或不具备操作性。</w:t>
            </w:r>
          </w:p>
        </w:tc>
        <w:tc>
          <w:tcPr>
            <w:tcW w:w="525" w:type="dxa"/>
            <w:vAlign w:val="top"/>
          </w:tcPr>
          <w:p>
            <w:pPr>
              <w:spacing w:before="8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73" w:type="dxa"/>
            <w:vAlign w:val="top"/>
          </w:tcPr>
          <w:p>
            <w:pPr>
              <w:rPr>
                <w:rFonts w:ascii="Arial"/>
                <w:sz w:val="21"/>
              </w:rPr>
            </w:pPr>
          </w:p>
        </w:tc>
        <w:tc>
          <w:tcPr>
            <w:tcW w:w="1230" w:type="dxa"/>
            <w:vAlign w:val="top"/>
          </w:tcPr>
          <w:p>
            <w:pPr>
              <w:rPr>
                <w:rFonts w:ascii="Arial"/>
                <w:sz w:val="21"/>
              </w:rPr>
            </w:pPr>
          </w:p>
        </w:tc>
      </w:tr>
    </w:tbl>
    <w:p>
      <w:pPr>
        <w:spacing w:line="302" w:lineRule="auto"/>
        <w:rPr>
          <w:rFonts w:ascii="Arial"/>
          <w:sz w:val="21"/>
        </w:rPr>
      </w:pPr>
    </w:p>
    <w:p>
      <w:pPr>
        <w:spacing w:line="303" w:lineRule="auto"/>
        <w:rPr>
          <w:rFonts w:ascii="Arial"/>
          <w:sz w:val="21"/>
        </w:rPr>
      </w:pPr>
    </w:p>
    <w:p>
      <w:pPr>
        <w:spacing w:before="100" w:line="226" w:lineRule="auto"/>
        <w:ind w:left="5218"/>
        <w:outlineLvl w:val="0"/>
        <w:rPr>
          <w:rFonts w:ascii="黑体" w:hAnsi="黑体" w:eastAsia="黑体" w:cs="黑体"/>
          <w:sz w:val="31"/>
          <w:szCs w:val="31"/>
        </w:rPr>
      </w:pPr>
      <w:r>
        <w:rPr>
          <w:rFonts w:ascii="黑体" w:hAnsi="黑体" w:eastAsia="黑体" w:cs="黑体"/>
          <w:spacing w:val="2"/>
          <w:sz w:val="31"/>
          <w:szCs w:val="31"/>
        </w:rPr>
        <w:t>四、人员管理（共</w:t>
      </w:r>
      <w:r>
        <w:rPr>
          <w:rFonts w:ascii="黑体" w:hAnsi="黑体" w:eastAsia="黑体" w:cs="黑体"/>
          <w:spacing w:val="-56"/>
          <w:sz w:val="31"/>
          <w:szCs w:val="31"/>
        </w:rPr>
        <w:t xml:space="preserve"> </w:t>
      </w:r>
      <w:r>
        <w:rPr>
          <w:rFonts w:ascii="Times New Roman" w:hAnsi="Times New Roman" w:eastAsia="Times New Roman" w:cs="Times New Roman"/>
          <w:spacing w:val="2"/>
          <w:sz w:val="31"/>
          <w:szCs w:val="31"/>
        </w:rPr>
        <w:t>9</w:t>
      </w:r>
      <w:r>
        <w:rPr>
          <w:rFonts w:ascii="Times New Roman" w:hAnsi="Times New Roman" w:eastAsia="Times New Roman" w:cs="Times New Roman"/>
          <w:spacing w:val="23"/>
          <w:sz w:val="31"/>
          <w:szCs w:val="31"/>
        </w:rPr>
        <w:t xml:space="preserve"> </w:t>
      </w:r>
      <w:r>
        <w:rPr>
          <w:rFonts w:ascii="黑体" w:hAnsi="黑体" w:eastAsia="黑体" w:cs="黑体"/>
          <w:spacing w:val="2"/>
          <w:sz w:val="31"/>
          <w:szCs w:val="31"/>
        </w:rPr>
        <w:t>分）</w:t>
      </w:r>
    </w:p>
    <w:p>
      <w:pPr>
        <w:spacing w:line="71" w:lineRule="exact"/>
      </w:pPr>
    </w:p>
    <w:tbl>
      <w:tblPr>
        <w:tblStyle w:val="5"/>
        <w:tblW w:w="13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765"/>
        <w:gridCol w:w="4363"/>
        <w:gridCol w:w="4543"/>
        <w:gridCol w:w="574"/>
        <w:gridCol w:w="1139"/>
        <w:gridCol w:w="1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90" w:type="dxa"/>
            <w:textDirection w:val="tbRlV"/>
            <w:vAlign w:val="top"/>
          </w:tcPr>
          <w:p>
            <w:pPr>
              <w:spacing w:before="188" w:line="216" w:lineRule="auto"/>
              <w:ind w:left="48"/>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32"/>
                <w:sz w:val="20"/>
                <w:szCs w:val="20"/>
              </w:rPr>
              <w:t xml:space="preserve"> </w:t>
            </w:r>
            <w:r>
              <w:rPr>
                <w:rFonts w:ascii="黑体" w:hAnsi="黑体" w:eastAsia="黑体" w:cs="黑体"/>
                <w:spacing w:val="12"/>
                <w:sz w:val="20"/>
                <w:szCs w:val="20"/>
              </w:rPr>
              <w:t>号</w:t>
            </w:r>
          </w:p>
        </w:tc>
        <w:tc>
          <w:tcPr>
            <w:tcW w:w="765" w:type="dxa"/>
            <w:vAlign w:val="top"/>
          </w:tcPr>
          <w:p>
            <w:pPr>
              <w:spacing w:before="47" w:line="236" w:lineRule="auto"/>
              <w:ind w:left="173" w:right="176"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3" w:type="dxa"/>
            <w:vAlign w:val="top"/>
          </w:tcPr>
          <w:p>
            <w:pPr>
              <w:spacing w:before="187" w:line="231" w:lineRule="auto"/>
              <w:ind w:left="1762"/>
              <w:rPr>
                <w:rFonts w:ascii="黑体" w:hAnsi="黑体" w:eastAsia="黑体" w:cs="黑体"/>
                <w:sz w:val="20"/>
                <w:szCs w:val="20"/>
              </w:rPr>
            </w:pPr>
            <w:r>
              <w:rPr>
                <w:rFonts w:ascii="黑体" w:hAnsi="黑体" w:eastAsia="黑体" w:cs="黑体"/>
                <w:spacing w:val="7"/>
                <w:sz w:val="20"/>
                <w:szCs w:val="20"/>
              </w:rPr>
              <w:t>核查内容</w:t>
            </w:r>
          </w:p>
        </w:tc>
        <w:tc>
          <w:tcPr>
            <w:tcW w:w="5117" w:type="dxa"/>
            <w:gridSpan w:val="2"/>
            <w:vAlign w:val="top"/>
          </w:tcPr>
          <w:p>
            <w:pPr>
              <w:spacing w:before="187" w:line="230" w:lineRule="auto"/>
              <w:ind w:left="2142"/>
              <w:rPr>
                <w:rFonts w:ascii="黑体" w:hAnsi="黑体" w:eastAsia="黑体" w:cs="黑体"/>
                <w:sz w:val="20"/>
                <w:szCs w:val="20"/>
              </w:rPr>
            </w:pPr>
            <w:r>
              <w:rPr>
                <w:rFonts w:ascii="黑体" w:hAnsi="黑体" w:eastAsia="黑体" w:cs="黑体"/>
                <w:spacing w:val="7"/>
                <w:sz w:val="20"/>
                <w:szCs w:val="20"/>
              </w:rPr>
              <w:t>评分标准</w:t>
            </w:r>
          </w:p>
        </w:tc>
        <w:tc>
          <w:tcPr>
            <w:tcW w:w="1139" w:type="dxa"/>
            <w:vAlign w:val="top"/>
          </w:tcPr>
          <w:p>
            <w:pPr>
              <w:spacing w:before="187" w:line="230" w:lineRule="auto"/>
              <w:ind w:left="154"/>
              <w:rPr>
                <w:rFonts w:ascii="黑体" w:hAnsi="黑体" w:eastAsia="黑体" w:cs="黑体"/>
                <w:sz w:val="20"/>
                <w:szCs w:val="20"/>
              </w:rPr>
            </w:pPr>
            <w:r>
              <w:rPr>
                <w:rFonts w:ascii="黑体" w:hAnsi="黑体" w:eastAsia="黑体" w:cs="黑体"/>
                <w:spacing w:val="7"/>
                <w:sz w:val="20"/>
                <w:szCs w:val="20"/>
              </w:rPr>
              <w:t>核查记录</w:t>
            </w:r>
          </w:p>
        </w:tc>
        <w:tc>
          <w:tcPr>
            <w:tcW w:w="1230" w:type="dxa"/>
            <w:vAlign w:val="top"/>
          </w:tcPr>
          <w:p>
            <w:pPr>
              <w:spacing w:before="188" w:line="231" w:lineRule="auto"/>
              <w:ind w:left="198"/>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58" w:line="195" w:lineRule="auto"/>
              <w:ind w:left="164"/>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1</w:t>
            </w:r>
          </w:p>
        </w:tc>
        <w:tc>
          <w:tcPr>
            <w:tcW w:w="76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65" w:line="242" w:lineRule="auto"/>
              <w:ind w:left="180" w:right="176" w:hanging="4"/>
            </w:pPr>
            <w:r>
              <w:rPr>
                <w:spacing w:val="3"/>
              </w:rPr>
              <w:t>人员</w:t>
            </w:r>
            <w:r>
              <w:t xml:space="preserve"> </w:t>
            </w:r>
            <w:r>
              <w:rPr>
                <w:spacing w:val="1"/>
              </w:rPr>
              <w:t>要求</w:t>
            </w:r>
          </w:p>
        </w:tc>
        <w:tc>
          <w:tcPr>
            <w:tcW w:w="4363" w:type="dxa"/>
            <w:vMerge w:val="restart"/>
            <w:tcBorders>
              <w:bottom w:val="nil"/>
            </w:tcBorders>
            <w:vAlign w:val="top"/>
          </w:tcPr>
          <w:p>
            <w:pPr>
              <w:pStyle w:val="6"/>
              <w:spacing w:before="44" w:line="242" w:lineRule="auto"/>
              <w:ind w:left="113" w:right="166" w:firstLine="12"/>
            </w:pPr>
            <w:r>
              <w:rPr>
                <w:rFonts w:ascii="Times New Roman" w:hAnsi="Times New Roman" w:eastAsia="Times New Roman" w:cs="Times New Roman"/>
                <w:spacing w:val="7"/>
              </w:rPr>
              <w:t xml:space="preserve">1.   </w:t>
            </w:r>
            <w:r>
              <w:rPr>
                <w:spacing w:val="7"/>
              </w:rPr>
              <w:t>应当配备专职或兼职食品安全管理人员和</w:t>
            </w:r>
            <w:r>
              <w:rPr>
                <w:spacing w:val="3"/>
              </w:rPr>
              <w:t xml:space="preserve"> </w:t>
            </w:r>
            <w:r>
              <w:rPr>
                <w:spacing w:val="7"/>
              </w:rPr>
              <w:t>食品安全专业技术人员。</w:t>
            </w:r>
          </w:p>
          <w:p>
            <w:pPr>
              <w:pStyle w:val="6"/>
              <w:spacing w:before="38" w:line="251" w:lineRule="auto"/>
              <w:ind w:left="108" w:right="106" w:hanging="2"/>
            </w:pPr>
            <w:r>
              <w:rPr>
                <w:rFonts w:ascii="Times New Roman" w:hAnsi="Times New Roman" w:eastAsia="Times New Roman" w:cs="Times New Roman"/>
                <w:spacing w:val="8"/>
              </w:rPr>
              <w:t xml:space="preserve">2.   </w:t>
            </w:r>
            <w:r>
              <w:rPr>
                <w:spacing w:val="8"/>
              </w:rPr>
              <w:t>企业主要负责人、食品安全总监、食品安</w:t>
            </w:r>
            <w:r>
              <w:t xml:space="preserve"> </w:t>
            </w:r>
            <w:r>
              <w:rPr>
                <w:spacing w:val="7"/>
              </w:rPr>
              <w:t>全员应当符合《企业落实食品安全主体责任监</w:t>
            </w:r>
            <w:r>
              <w:rPr>
                <w:spacing w:val="1"/>
              </w:rPr>
              <w:t xml:space="preserve"> </w:t>
            </w:r>
            <w:r>
              <w:rPr>
                <w:spacing w:val="7"/>
              </w:rPr>
              <w:t>督管理规定》。食品安全管理人员应当掌握食</w:t>
            </w:r>
            <w:r>
              <w:rPr>
                <w:spacing w:val="1"/>
              </w:rPr>
              <w:t xml:space="preserve"> </w:t>
            </w:r>
            <w:r>
              <w:rPr>
                <w:spacing w:val="7"/>
              </w:rPr>
              <w:t>品安全法律法规、食品添加剂相关标准及生产</w:t>
            </w:r>
            <w:r>
              <w:t xml:space="preserve"> </w:t>
            </w:r>
            <w:r>
              <w:rPr>
                <w:spacing w:val="8"/>
              </w:rPr>
              <w:t>加工专业知识，具备食品安全管理能力。</w:t>
            </w:r>
          </w:p>
          <w:p>
            <w:pPr>
              <w:pStyle w:val="6"/>
              <w:spacing w:before="38" w:line="248" w:lineRule="auto"/>
              <w:ind w:left="122" w:right="106" w:hanging="12"/>
              <w:jc w:val="both"/>
            </w:pPr>
            <w:r>
              <w:rPr>
                <w:rFonts w:ascii="Times New Roman" w:hAnsi="Times New Roman" w:eastAsia="Times New Roman" w:cs="Times New Roman"/>
                <w:spacing w:val="9"/>
              </w:rPr>
              <w:t>3.</w:t>
            </w:r>
            <w:r>
              <w:rPr>
                <w:spacing w:val="9"/>
              </w:rPr>
              <w:t>食品安全专业技术人员应当掌握食品添</w:t>
            </w:r>
            <w:r>
              <w:rPr>
                <w:spacing w:val="8"/>
              </w:rPr>
              <w:t>加剂</w:t>
            </w:r>
            <w:r>
              <w:t xml:space="preserve"> </w:t>
            </w:r>
            <w:r>
              <w:rPr>
                <w:spacing w:val="6"/>
              </w:rPr>
              <w:t>生产工艺操作规程，能够熟练操作与岗位相关</w:t>
            </w:r>
            <w:r>
              <w:rPr>
                <w:spacing w:val="7"/>
              </w:rPr>
              <w:t xml:space="preserve"> </w:t>
            </w:r>
            <w:r>
              <w:rPr>
                <w:spacing w:val="4"/>
              </w:rPr>
              <w:t>的设备设施。</w:t>
            </w:r>
          </w:p>
          <w:p>
            <w:pPr>
              <w:pStyle w:val="6"/>
              <w:spacing w:before="33" w:line="247" w:lineRule="auto"/>
              <w:ind w:left="111" w:right="108" w:hanging="6"/>
              <w:jc w:val="both"/>
            </w:pPr>
            <w:r>
              <w:rPr>
                <w:rFonts w:ascii="Times New Roman" w:hAnsi="Times New Roman" w:eastAsia="Times New Roman" w:cs="Times New Roman"/>
                <w:spacing w:val="9"/>
              </w:rPr>
              <w:t>4.</w:t>
            </w:r>
            <w:r>
              <w:rPr>
                <w:spacing w:val="9"/>
              </w:rPr>
              <w:t>检验人员应当具有食品、化学或相关专业知</w:t>
            </w:r>
            <w:r>
              <w:rPr>
                <w:spacing w:val="3"/>
              </w:rPr>
              <w:t xml:space="preserve"> </w:t>
            </w:r>
            <w:r>
              <w:rPr>
                <w:spacing w:val="6"/>
              </w:rPr>
              <w:t>识，经专业培训合格。检验人员数量应当满足</w:t>
            </w:r>
            <w:r>
              <w:rPr>
                <w:spacing w:val="16"/>
              </w:rPr>
              <w:t xml:space="preserve"> </w:t>
            </w:r>
            <w:r>
              <w:rPr>
                <w:spacing w:val="6"/>
              </w:rPr>
              <w:t>企业检验需求。</w:t>
            </w:r>
          </w:p>
          <w:p>
            <w:pPr>
              <w:pStyle w:val="6"/>
              <w:spacing w:before="38" w:line="247" w:lineRule="auto"/>
              <w:ind w:left="112" w:right="108"/>
            </w:pPr>
            <w:r>
              <w:rPr>
                <w:rFonts w:ascii="Times New Roman" w:hAnsi="Times New Roman" w:eastAsia="Times New Roman" w:cs="Times New Roman"/>
                <w:spacing w:val="8"/>
              </w:rPr>
              <w:t>5.</w:t>
            </w:r>
            <w:r>
              <w:rPr>
                <w:spacing w:val="8"/>
              </w:rPr>
              <w:t>操作人员应当掌握本职岗位的作业指导书、</w:t>
            </w:r>
            <w:r>
              <w:rPr>
                <w:spacing w:val="18"/>
              </w:rPr>
              <w:t xml:space="preserve"> </w:t>
            </w:r>
            <w:r>
              <w:rPr>
                <w:spacing w:val="6"/>
              </w:rPr>
              <w:t>操作规程或配方等工艺文件的相关要求，能够</w:t>
            </w:r>
            <w:r>
              <w:rPr>
                <w:spacing w:val="15"/>
              </w:rPr>
              <w:t xml:space="preserve"> </w:t>
            </w:r>
            <w:r>
              <w:rPr>
                <w:spacing w:val="7"/>
              </w:rPr>
              <w:t>熟练操作本岗位设备。</w:t>
            </w:r>
          </w:p>
          <w:p>
            <w:pPr>
              <w:pStyle w:val="6"/>
              <w:spacing w:before="37" w:line="234" w:lineRule="auto"/>
              <w:ind w:left="135" w:right="108" w:hanging="25"/>
            </w:pPr>
            <w:r>
              <w:rPr>
                <w:rFonts w:ascii="Times New Roman" w:hAnsi="Times New Roman" w:eastAsia="Times New Roman" w:cs="Times New Roman"/>
                <w:spacing w:val="9"/>
              </w:rPr>
              <w:t>6.</w:t>
            </w:r>
            <w:r>
              <w:rPr>
                <w:spacing w:val="9"/>
              </w:rPr>
              <w:t>菌种保存及扩大培养相关操作的岗位人</w:t>
            </w:r>
            <w:r>
              <w:rPr>
                <w:spacing w:val="8"/>
              </w:rPr>
              <w:t>员应</w:t>
            </w:r>
            <w:r>
              <w:t xml:space="preserve"> </w:t>
            </w:r>
            <w:r>
              <w:rPr>
                <w:spacing w:val="5"/>
              </w:rPr>
              <w:t>当进行微生物和菌种相关知识培训，并具有相</w:t>
            </w:r>
          </w:p>
        </w:tc>
        <w:tc>
          <w:tcPr>
            <w:tcW w:w="4543" w:type="dxa"/>
            <w:vAlign w:val="top"/>
          </w:tcPr>
          <w:p>
            <w:pPr>
              <w:pStyle w:val="6"/>
              <w:spacing w:before="75" w:line="224" w:lineRule="auto"/>
              <w:ind w:left="118"/>
            </w:pPr>
            <w:r>
              <w:rPr>
                <w:spacing w:val="6"/>
              </w:rPr>
              <w:t>符合规定要求。</w:t>
            </w:r>
          </w:p>
        </w:tc>
        <w:tc>
          <w:tcPr>
            <w:tcW w:w="574" w:type="dxa"/>
            <w:vAlign w:val="top"/>
          </w:tcPr>
          <w:p>
            <w:pPr>
              <w:spacing w:before="110"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90" w:type="dxa"/>
            <w:vMerge w:val="continue"/>
            <w:tcBorders>
              <w:top w:val="nil"/>
              <w:bottom w:val="nil"/>
            </w:tcBorders>
            <w:vAlign w:val="top"/>
          </w:tcPr>
          <w:p>
            <w:pPr>
              <w:rPr>
                <w:rFonts w:ascii="Arial"/>
                <w:sz w:val="21"/>
              </w:rPr>
            </w:pPr>
          </w:p>
        </w:tc>
        <w:tc>
          <w:tcPr>
            <w:tcW w:w="765"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43" w:type="dxa"/>
            <w:vAlign w:val="top"/>
          </w:tcPr>
          <w:p>
            <w:pPr>
              <w:pStyle w:val="6"/>
              <w:spacing w:before="44" w:line="226" w:lineRule="auto"/>
              <w:ind w:left="129"/>
            </w:pPr>
            <w:r>
              <w:rPr>
                <w:rFonts w:ascii="Times New Roman" w:hAnsi="Times New Roman" w:eastAsia="Times New Roman" w:cs="Times New Roman"/>
                <w:spacing w:val="6"/>
              </w:rPr>
              <w:t>1.</w:t>
            </w:r>
            <w:r>
              <w:rPr>
                <w:spacing w:val="6"/>
              </w:rPr>
              <w:t>个别人员职责不太明确。</w:t>
            </w:r>
          </w:p>
          <w:p>
            <w:pPr>
              <w:pStyle w:val="6"/>
              <w:spacing w:before="35" w:line="211" w:lineRule="auto"/>
              <w:ind w:left="108"/>
            </w:pPr>
            <w:r>
              <w:rPr>
                <w:rFonts w:ascii="Times New Roman" w:hAnsi="Times New Roman" w:eastAsia="Times New Roman" w:cs="Times New Roman"/>
                <w:spacing w:val="8"/>
              </w:rPr>
              <w:t>2.</w:t>
            </w:r>
            <w:r>
              <w:rPr>
                <w:spacing w:val="8"/>
              </w:rPr>
              <w:t>个别人员资质不符合规定要求。</w:t>
            </w:r>
          </w:p>
        </w:tc>
        <w:tc>
          <w:tcPr>
            <w:tcW w:w="574" w:type="dxa"/>
            <w:vAlign w:val="top"/>
          </w:tcPr>
          <w:p>
            <w:pPr>
              <w:spacing w:before="221"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4" w:hRule="atLeast"/>
        </w:trPr>
        <w:tc>
          <w:tcPr>
            <w:tcW w:w="590"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43"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25" w:lineRule="auto"/>
              <w:ind w:left="129"/>
            </w:pPr>
            <w:r>
              <w:rPr>
                <w:rFonts w:ascii="Times New Roman" w:hAnsi="Times New Roman" w:eastAsia="Times New Roman" w:cs="Times New Roman"/>
                <w:spacing w:val="7"/>
              </w:rPr>
              <w:t>1.</w:t>
            </w:r>
            <w:r>
              <w:rPr>
                <w:spacing w:val="7"/>
              </w:rPr>
              <w:t>未设立独立的食品质量安全管理机构。</w:t>
            </w:r>
          </w:p>
          <w:p>
            <w:pPr>
              <w:pStyle w:val="6"/>
              <w:spacing w:before="33" w:line="245" w:lineRule="auto"/>
              <w:ind w:left="137" w:right="106" w:hanging="29"/>
            </w:pPr>
            <w:r>
              <w:rPr>
                <w:rFonts w:ascii="Times New Roman" w:hAnsi="Times New Roman" w:eastAsia="Times New Roman" w:cs="Times New Roman"/>
                <w:spacing w:val="7"/>
              </w:rPr>
              <w:t>2.</w:t>
            </w:r>
            <w:r>
              <w:rPr>
                <w:spacing w:val="7"/>
              </w:rPr>
              <w:t>未配备专职的食品安全总监、食品安全员等食</w:t>
            </w:r>
            <w:r>
              <w:rPr>
                <w:spacing w:val="17"/>
              </w:rPr>
              <w:t xml:space="preserve"> </w:t>
            </w:r>
            <w:r>
              <w:rPr>
                <w:spacing w:val="4"/>
              </w:rPr>
              <w:t>品安全管理人员。</w:t>
            </w:r>
          </w:p>
          <w:p>
            <w:pPr>
              <w:pStyle w:val="6"/>
              <w:spacing w:before="30" w:line="242" w:lineRule="auto"/>
              <w:ind w:left="114" w:right="103" w:hanging="1"/>
            </w:pPr>
            <w:r>
              <w:rPr>
                <w:rFonts w:ascii="Times New Roman" w:hAnsi="Times New Roman" w:eastAsia="Times New Roman" w:cs="Times New Roman"/>
                <w:spacing w:val="16"/>
              </w:rPr>
              <w:t>3.</w:t>
            </w:r>
            <w:r>
              <w:rPr>
                <w:rFonts w:ascii="Times New Roman" w:hAnsi="Times New Roman" w:eastAsia="Times New Roman" w:cs="Times New Roman"/>
                <w:spacing w:val="-16"/>
              </w:rPr>
              <w:t xml:space="preserve"> </w:t>
            </w:r>
            <w:r>
              <w:rPr>
                <w:spacing w:val="16"/>
              </w:rPr>
              <w:t>未配备具有相应专业能力的食品安全专业技</w:t>
            </w:r>
            <w:r>
              <w:t xml:space="preserve"> </w:t>
            </w:r>
            <w:r>
              <w:rPr>
                <w:spacing w:val="4"/>
              </w:rPr>
              <w:t>术人员。</w:t>
            </w:r>
          </w:p>
          <w:p>
            <w:pPr>
              <w:pStyle w:val="6"/>
              <w:spacing w:before="35" w:line="244" w:lineRule="auto"/>
              <w:ind w:left="118" w:right="106" w:hanging="11"/>
            </w:pPr>
            <w:r>
              <w:rPr>
                <w:rFonts w:ascii="Times New Roman" w:hAnsi="Times New Roman" w:eastAsia="Times New Roman" w:cs="Times New Roman"/>
                <w:spacing w:val="7"/>
              </w:rPr>
              <w:t>4.</w:t>
            </w:r>
            <w:r>
              <w:rPr>
                <w:spacing w:val="7"/>
              </w:rPr>
              <w:t>相关人员数量配备不足，人员资质不符合规定</w:t>
            </w:r>
            <w:r>
              <w:rPr>
                <w:spacing w:val="18"/>
              </w:rPr>
              <w:t xml:space="preserve"> </w:t>
            </w:r>
            <w:r>
              <w:rPr>
                <w:spacing w:val="1"/>
              </w:rPr>
              <w:t>要求。</w:t>
            </w:r>
          </w:p>
        </w:tc>
        <w:tc>
          <w:tcPr>
            <w:tcW w:w="57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8"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2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5" w:type="default"/>
          <w:pgSz w:w="15840" w:h="12240"/>
          <w:pgMar w:top="1040" w:right="1337" w:bottom="895" w:left="1293" w:header="0" w:footer="724" w:gutter="0"/>
          <w:cols w:space="720" w:num="1"/>
        </w:sectPr>
      </w:pPr>
    </w:p>
    <w:p>
      <w:pPr>
        <w:spacing w:before="12"/>
      </w:pPr>
    </w:p>
    <w:p>
      <w:pPr>
        <w:spacing w:before="12"/>
      </w:pPr>
    </w:p>
    <w:p>
      <w:pPr>
        <w:spacing w:before="11"/>
      </w:pPr>
    </w:p>
    <w:tbl>
      <w:tblPr>
        <w:tblStyle w:val="5"/>
        <w:tblW w:w="13204"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765"/>
        <w:gridCol w:w="4363"/>
        <w:gridCol w:w="4543"/>
        <w:gridCol w:w="574"/>
        <w:gridCol w:w="1139"/>
        <w:gridCol w:w="1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90" w:type="dxa"/>
            <w:textDirection w:val="tbRlV"/>
            <w:vAlign w:val="top"/>
          </w:tcPr>
          <w:p>
            <w:pPr>
              <w:spacing w:before="188" w:line="216" w:lineRule="auto"/>
              <w:ind w:left="49"/>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32"/>
                <w:sz w:val="20"/>
                <w:szCs w:val="20"/>
              </w:rPr>
              <w:t xml:space="preserve"> </w:t>
            </w:r>
            <w:r>
              <w:rPr>
                <w:rFonts w:ascii="黑体" w:hAnsi="黑体" w:eastAsia="黑体" w:cs="黑体"/>
                <w:spacing w:val="12"/>
                <w:sz w:val="20"/>
                <w:szCs w:val="20"/>
              </w:rPr>
              <w:t>号</w:t>
            </w:r>
          </w:p>
        </w:tc>
        <w:tc>
          <w:tcPr>
            <w:tcW w:w="765" w:type="dxa"/>
            <w:vAlign w:val="top"/>
          </w:tcPr>
          <w:p>
            <w:pPr>
              <w:spacing w:before="49" w:line="235" w:lineRule="auto"/>
              <w:ind w:left="173" w:right="176"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63" w:type="dxa"/>
            <w:vAlign w:val="top"/>
          </w:tcPr>
          <w:p>
            <w:pPr>
              <w:spacing w:before="188" w:line="231" w:lineRule="auto"/>
              <w:ind w:left="1762"/>
              <w:rPr>
                <w:rFonts w:ascii="黑体" w:hAnsi="黑体" w:eastAsia="黑体" w:cs="黑体"/>
                <w:sz w:val="20"/>
                <w:szCs w:val="20"/>
              </w:rPr>
            </w:pPr>
            <w:r>
              <w:rPr>
                <w:rFonts w:ascii="黑体" w:hAnsi="黑体" w:eastAsia="黑体" w:cs="黑体"/>
                <w:spacing w:val="7"/>
                <w:sz w:val="20"/>
                <w:szCs w:val="20"/>
              </w:rPr>
              <w:t>核查内容</w:t>
            </w:r>
          </w:p>
        </w:tc>
        <w:tc>
          <w:tcPr>
            <w:tcW w:w="5117" w:type="dxa"/>
            <w:gridSpan w:val="2"/>
            <w:vAlign w:val="top"/>
          </w:tcPr>
          <w:p>
            <w:pPr>
              <w:spacing w:before="188" w:line="230" w:lineRule="auto"/>
              <w:ind w:left="2142"/>
              <w:rPr>
                <w:rFonts w:ascii="黑体" w:hAnsi="黑体" w:eastAsia="黑体" w:cs="黑体"/>
                <w:sz w:val="20"/>
                <w:szCs w:val="20"/>
              </w:rPr>
            </w:pPr>
            <w:r>
              <w:rPr>
                <w:rFonts w:ascii="黑体" w:hAnsi="黑体" w:eastAsia="黑体" w:cs="黑体"/>
                <w:spacing w:val="7"/>
                <w:sz w:val="20"/>
                <w:szCs w:val="20"/>
              </w:rPr>
              <w:t>评分标准</w:t>
            </w:r>
          </w:p>
        </w:tc>
        <w:tc>
          <w:tcPr>
            <w:tcW w:w="1139" w:type="dxa"/>
            <w:vAlign w:val="top"/>
          </w:tcPr>
          <w:p>
            <w:pPr>
              <w:spacing w:before="188" w:line="230" w:lineRule="auto"/>
              <w:ind w:left="154"/>
              <w:rPr>
                <w:rFonts w:ascii="黑体" w:hAnsi="黑体" w:eastAsia="黑体" w:cs="黑体"/>
                <w:sz w:val="20"/>
                <w:szCs w:val="20"/>
              </w:rPr>
            </w:pPr>
            <w:r>
              <w:rPr>
                <w:rFonts w:ascii="黑体" w:hAnsi="黑体" w:eastAsia="黑体" w:cs="黑体"/>
                <w:spacing w:val="7"/>
                <w:sz w:val="20"/>
                <w:szCs w:val="20"/>
              </w:rPr>
              <w:t>核查记录</w:t>
            </w:r>
          </w:p>
        </w:tc>
        <w:tc>
          <w:tcPr>
            <w:tcW w:w="1230" w:type="dxa"/>
            <w:vAlign w:val="top"/>
          </w:tcPr>
          <w:p>
            <w:pPr>
              <w:spacing w:before="188" w:line="231" w:lineRule="auto"/>
              <w:ind w:left="198"/>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590" w:type="dxa"/>
            <w:vAlign w:val="top"/>
          </w:tcPr>
          <w:p>
            <w:pPr>
              <w:rPr>
                <w:rFonts w:ascii="Arial"/>
                <w:sz w:val="21"/>
              </w:rPr>
            </w:pPr>
          </w:p>
        </w:tc>
        <w:tc>
          <w:tcPr>
            <w:tcW w:w="765" w:type="dxa"/>
            <w:vAlign w:val="top"/>
          </w:tcPr>
          <w:p>
            <w:pPr>
              <w:rPr>
                <w:rFonts w:ascii="Arial"/>
                <w:sz w:val="21"/>
              </w:rPr>
            </w:pPr>
          </w:p>
        </w:tc>
        <w:tc>
          <w:tcPr>
            <w:tcW w:w="4363" w:type="dxa"/>
            <w:vAlign w:val="top"/>
          </w:tcPr>
          <w:p>
            <w:pPr>
              <w:pStyle w:val="6"/>
              <w:spacing w:before="46" w:line="225" w:lineRule="auto"/>
              <w:ind w:left="115"/>
            </w:pPr>
            <w:r>
              <w:rPr>
                <w:spacing w:val="3"/>
              </w:rPr>
              <w:t>应技能。</w:t>
            </w:r>
          </w:p>
          <w:p>
            <w:pPr>
              <w:pStyle w:val="6"/>
              <w:spacing w:before="34" w:line="251" w:lineRule="auto"/>
              <w:ind w:left="108" w:right="106" w:firstLine="1"/>
            </w:pPr>
            <w:r>
              <w:rPr>
                <w:rFonts w:ascii="Times New Roman" w:hAnsi="Times New Roman" w:eastAsia="Times New Roman" w:cs="Times New Roman"/>
                <w:spacing w:val="8"/>
              </w:rPr>
              <w:t>7.</w:t>
            </w:r>
            <w:r>
              <w:rPr>
                <w:rFonts w:ascii="Times New Roman" w:hAnsi="Times New Roman" w:eastAsia="Times New Roman" w:cs="Times New Roman"/>
                <w:spacing w:val="-28"/>
              </w:rPr>
              <w:t xml:space="preserve"> </w:t>
            </w:r>
            <w:r>
              <w:rPr>
                <w:spacing w:val="8"/>
              </w:rPr>
              <w:t>负责清洁消毒的人员应当接受良好培训</w:t>
            </w:r>
            <w:r>
              <w:rPr>
                <w:spacing w:val="7"/>
              </w:rPr>
              <w:t>，能</w:t>
            </w:r>
            <w:r>
              <w:t xml:space="preserve"> </w:t>
            </w:r>
            <w:r>
              <w:rPr>
                <w:spacing w:val="7"/>
              </w:rPr>
              <w:t>够正确使用清洁消毒工器具及相关洗涤剂、消</w:t>
            </w:r>
            <w:r>
              <w:rPr>
                <w:spacing w:val="2"/>
              </w:rPr>
              <w:t xml:space="preserve"> </w:t>
            </w:r>
            <w:r>
              <w:rPr>
                <w:spacing w:val="7"/>
              </w:rPr>
              <w:t>毒剂，保证清洁和消毒作业的效果满足生产要</w:t>
            </w:r>
            <w:r>
              <w:rPr>
                <w:spacing w:val="2"/>
              </w:rPr>
              <w:t xml:space="preserve"> </w:t>
            </w:r>
            <w:r>
              <w:rPr>
                <w:spacing w:val="1"/>
              </w:rPr>
              <w:t>求。</w:t>
            </w:r>
          </w:p>
          <w:p>
            <w:pPr>
              <w:pStyle w:val="6"/>
              <w:spacing w:before="33" w:line="234" w:lineRule="auto"/>
              <w:ind w:left="114" w:right="108"/>
            </w:pPr>
            <w:r>
              <w:rPr>
                <w:rFonts w:ascii="Times New Roman" w:hAnsi="Times New Roman" w:eastAsia="Times New Roman" w:cs="Times New Roman"/>
                <w:spacing w:val="7"/>
              </w:rPr>
              <w:t>8.</w:t>
            </w:r>
            <w:r>
              <w:rPr>
                <w:rFonts w:ascii="Times New Roman" w:hAnsi="Times New Roman" w:eastAsia="Times New Roman" w:cs="Times New Roman"/>
                <w:spacing w:val="-14"/>
              </w:rPr>
              <w:t xml:space="preserve"> </w:t>
            </w:r>
            <w:r>
              <w:rPr>
                <w:spacing w:val="7"/>
              </w:rPr>
              <w:t>涉及危险化学品相关操作的岗位人员应当经</w:t>
            </w:r>
            <w:r>
              <w:t xml:space="preserve"> </w:t>
            </w:r>
            <w:r>
              <w:rPr>
                <w:spacing w:val="7"/>
              </w:rPr>
              <w:t>过危险化学品知识培训。</w:t>
            </w:r>
          </w:p>
        </w:tc>
        <w:tc>
          <w:tcPr>
            <w:tcW w:w="4543" w:type="dxa"/>
            <w:vAlign w:val="top"/>
          </w:tcPr>
          <w:p>
            <w:pPr>
              <w:rPr>
                <w:rFonts w:ascii="Arial"/>
                <w:sz w:val="21"/>
              </w:rPr>
            </w:pPr>
          </w:p>
        </w:tc>
        <w:tc>
          <w:tcPr>
            <w:tcW w:w="574" w:type="dxa"/>
            <w:vAlign w:val="top"/>
          </w:tcPr>
          <w:p>
            <w:pPr>
              <w:rPr>
                <w:rFonts w:ascii="Arial"/>
                <w:sz w:val="21"/>
              </w:rPr>
            </w:pP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restart"/>
            <w:tcBorders>
              <w:bottom w:val="nil"/>
            </w:tcBorders>
            <w:vAlign w:val="top"/>
          </w:tcPr>
          <w:p>
            <w:pPr>
              <w:spacing w:line="256" w:lineRule="auto"/>
              <w:rPr>
                <w:rFonts w:ascii="Arial"/>
                <w:sz w:val="21"/>
              </w:rPr>
            </w:pPr>
          </w:p>
          <w:p>
            <w:pPr>
              <w:spacing w:line="257" w:lineRule="auto"/>
              <w:rPr>
                <w:rFonts w:ascii="Arial"/>
                <w:sz w:val="21"/>
              </w:rPr>
            </w:pPr>
          </w:p>
          <w:p>
            <w:pPr>
              <w:spacing w:before="58"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4.2</w:t>
            </w:r>
          </w:p>
        </w:tc>
        <w:tc>
          <w:tcPr>
            <w:tcW w:w="765" w:type="dxa"/>
            <w:vMerge w:val="restart"/>
            <w:tcBorders>
              <w:bottom w:val="nil"/>
            </w:tcBorders>
            <w:vAlign w:val="top"/>
          </w:tcPr>
          <w:p>
            <w:pPr>
              <w:spacing w:line="331" w:lineRule="auto"/>
              <w:rPr>
                <w:rFonts w:ascii="Arial"/>
                <w:sz w:val="21"/>
              </w:rPr>
            </w:pPr>
          </w:p>
          <w:p>
            <w:pPr>
              <w:pStyle w:val="6"/>
              <w:spacing w:before="65" w:line="244" w:lineRule="auto"/>
              <w:ind w:left="176" w:right="176"/>
            </w:pPr>
            <w:r>
              <w:rPr>
                <w:spacing w:val="3"/>
              </w:rPr>
              <w:t>人员</w:t>
            </w:r>
            <w:r>
              <w:t xml:space="preserve"> </w:t>
            </w:r>
            <w:r>
              <w:rPr>
                <w:spacing w:val="3"/>
              </w:rPr>
              <w:t>培训</w:t>
            </w:r>
          </w:p>
        </w:tc>
        <w:tc>
          <w:tcPr>
            <w:tcW w:w="4363" w:type="dxa"/>
            <w:vMerge w:val="restart"/>
            <w:tcBorders>
              <w:bottom w:val="nil"/>
            </w:tcBorders>
            <w:vAlign w:val="top"/>
          </w:tcPr>
          <w:p>
            <w:pPr>
              <w:pStyle w:val="6"/>
              <w:spacing w:before="120" w:line="250" w:lineRule="auto"/>
              <w:ind w:left="116" w:right="107" w:hanging="1"/>
              <w:jc w:val="both"/>
            </w:pPr>
            <w:r>
              <w:rPr>
                <w:spacing w:val="6"/>
              </w:rPr>
              <w:t>应当制定和实施职工培训计划，根据岗位需求</w:t>
            </w:r>
            <w:r>
              <w:rPr>
                <w:spacing w:val="13"/>
              </w:rPr>
              <w:t xml:space="preserve"> </w:t>
            </w:r>
            <w:r>
              <w:rPr>
                <w:spacing w:val="17"/>
              </w:rPr>
              <w:t>开展食品安全知识及卫生培训，做好培训记</w:t>
            </w:r>
            <w:r>
              <w:rPr>
                <w:spacing w:val="8"/>
              </w:rPr>
              <w:t xml:space="preserve"> </w:t>
            </w:r>
            <w:r>
              <w:rPr>
                <w:spacing w:val="6"/>
              </w:rPr>
              <w:t>录。食品安全管理人员上岗前应当经过培训，</w:t>
            </w:r>
            <w:r>
              <w:rPr>
                <w:spacing w:val="12"/>
              </w:rPr>
              <w:t xml:space="preserve"> </w:t>
            </w:r>
            <w:r>
              <w:rPr>
                <w:spacing w:val="5"/>
              </w:rPr>
              <w:t>并考核合格。</w:t>
            </w:r>
          </w:p>
        </w:tc>
        <w:tc>
          <w:tcPr>
            <w:tcW w:w="4543" w:type="dxa"/>
            <w:vAlign w:val="top"/>
          </w:tcPr>
          <w:p>
            <w:pPr>
              <w:pStyle w:val="6"/>
              <w:spacing w:before="78" w:line="224" w:lineRule="auto"/>
              <w:ind w:left="118"/>
            </w:pPr>
            <w:r>
              <w:rPr>
                <w:spacing w:val="6"/>
              </w:rPr>
              <w:t>符合规定要求。</w:t>
            </w:r>
          </w:p>
        </w:tc>
        <w:tc>
          <w:tcPr>
            <w:tcW w:w="574" w:type="dxa"/>
            <w:vAlign w:val="top"/>
          </w:tcPr>
          <w:p>
            <w:pPr>
              <w:spacing w:before="113"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continue"/>
            <w:tcBorders>
              <w:top w:val="nil"/>
              <w:bottom w:val="nil"/>
            </w:tcBorders>
            <w:vAlign w:val="top"/>
          </w:tcPr>
          <w:p>
            <w:pPr>
              <w:rPr>
                <w:rFonts w:ascii="Arial"/>
                <w:sz w:val="21"/>
              </w:rPr>
            </w:pPr>
          </w:p>
        </w:tc>
        <w:tc>
          <w:tcPr>
            <w:tcW w:w="765"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43" w:type="dxa"/>
            <w:vAlign w:val="top"/>
          </w:tcPr>
          <w:p>
            <w:pPr>
              <w:pStyle w:val="6"/>
              <w:spacing w:before="80" w:line="225" w:lineRule="auto"/>
              <w:ind w:left="115"/>
            </w:pPr>
            <w:r>
              <w:rPr>
                <w:spacing w:val="8"/>
              </w:rPr>
              <w:t>培训计划及计划实施、培训记录略有不足。</w:t>
            </w:r>
          </w:p>
        </w:tc>
        <w:tc>
          <w:tcPr>
            <w:tcW w:w="574" w:type="dxa"/>
            <w:vAlign w:val="top"/>
          </w:tcPr>
          <w:p>
            <w:pPr>
              <w:spacing w:before="115"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90"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43" w:type="dxa"/>
            <w:vAlign w:val="top"/>
          </w:tcPr>
          <w:p>
            <w:pPr>
              <w:pStyle w:val="6"/>
              <w:spacing w:before="49" w:line="233" w:lineRule="auto"/>
              <w:ind w:left="121" w:right="106" w:hanging="2"/>
            </w:pPr>
            <w:r>
              <w:rPr>
                <w:spacing w:val="5"/>
              </w:rPr>
              <w:t>无培训计划，或计划实施严重不足，或无培训记</w:t>
            </w:r>
            <w:r>
              <w:rPr>
                <w:spacing w:val="6"/>
              </w:rPr>
              <w:t xml:space="preserve"> </w:t>
            </w:r>
            <w:r>
              <w:rPr>
                <w:spacing w:val="-5"/>
              </w:rPr>
              <w:t>录。</w:t>
            </w:r>
          </w:p>
        </w:tc>
        <w:tc>
          <w:tcPr>
            <w:tcW w:w="574" w:type="dxa"/>
            <w:vAlign w:val="top"/>
          </w:tcPr>
          <w:p>
            <w:pPr>
              <w:spacing w:before="223"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restart"/>
            <w:tcBorders>
              <w:bottom w:val="nil"/>
            </w:tcBorders>
            <w:vAlign w:val="top"/>
          </w:tcPr>
          <w:p>
            <w:pPr>
              <w:spacing w:line="446" w:lineRule="auto"/>
              <w:rPr>
                <w:rFonts w:ascii="Arial"/>
                <w:sz w:val="21"/>
              </w:rPr>
            </w:pPr>
          </w:p>
          <w:p>
            <w:pPr>
              <w:spacing w:before="57" w:line="195" w:lineRule="auto"/>
              <w:ind w:left="1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4.3</w:t>
            </w:r>
          </w:p>
        </w:tc>
        <w:tc>
          <w:tcPr>
            <w:tcW w:w="765" w:type="dxa"/>
            <w:vMerge w:val="restart"/>
            <w:tcBorders>
              <w:bottom w:val="nil"/>
            </w:tcBorders>
            <w:vAlign w:val="top"/>
          </w:tcPr>
          <w:p>
            <w:pPr>
              <w:pStyle w:val="6"/>
              <w:spacing w:before="53" w:line="246" w:lineRule="auto"/>
              <w:ind w:left="171" w:right="176" w:firstLine="5"/>
              <w:jc w:val="both"/>
            </w:pPr>
            <w:r>
              <w:rPr>
                <w:spacing w:val="3"/>
              </w:rPr>
              <w:t>人员</w:t>
            </w:r>
            <w:r>
              <w:t xml:space="preserve"> </w:t>
            </w:r>
            <w:r>
              <w:rPr>
                <w:spacing w:val="6"/>
              </w:rPr>
              <w:t>健康</w:t>
            </w:r>
            <w:r>
              <w:t xml:space="preserve"> </w:t>
            </w:r>
            <w:r>
              <w:rPr>
                <w:spacing w:val="6"/>
              </w:rPr>
              <w:t>管理</w:t>
            </w:r>
            <w:r>
              <w:t xml:space="preserve"> </w:t>
            </w:r>
            <w:r>
              <w:rPr>
                <w:spacing w:val="6"/>
              </w:rPr>
              <w:t>制度</w:t>
            </w:r>
          </w:p>
        </w:tc>
        <w:tc>
          <w:tcPr>
            <w:tcW w:w="4363" w:type="dxa"/>
            <w:vMerge w:val="restart"/>
            <w:tcBorders>
              <w:bottom w:val="nil"/>
            </w:tcBorders>
            <w:vAlign w:val="top"/>
          </w:tcPr>
          <w:p>
            <w:pPr>
              <w:spacing w:line="404" w:lineRule="auto"/>
              <w:rPr>
                <w:rFonts w:ascii="Arial"/>
                <w:sz w:val="21"/>
              </w:rPr>
            </w:pPr>
          </w:p>
          <w:p>
            <w:pPr>
              <w:pStyle w:val="6"/>
              <w:spacing w:before="65" w:line="223" w:lineRule="auto"/>
              <w:ind w:left="115"/>
            </w:pPr>
            <w:r>
              <w:rPr>
                <w:spacing w:val="8"/>
              </w:rPr>
              <w:t>应当建立并执行从业人员健康管理制度。</w:t>
            </w:r>
          </w:p>
        </w:tc>
        <w:tc>
          <w:tcPr>
            <w:tcW w:w="4543" w:type="dxa"/>
            <w:vAlign w:val="top"/>
          </w:tcPr>
          <w:p>
            <w:pPr>
              <w:pStyle w:val="6"/>
              <w:spacing w:before="80" w:line="224" w:lineRule="auto"/>
              <w:ind w:left="118"/>
            </w:pPr>
            <w:r>
              <w:rPr>
                <w:spacing w:val="6"/>
              </w:rPr>
              <w:t>符合规定要求。</w:t>
            </w:r>
          </w:p>
        </w:tc>
        <w:tc>
          <w:tcPr>
            <w:tcW w:w="574" w:type="dxa"/>
            <w:vAlign w:val="top"/>
          </w:tcPr>
          <w:p>
            <w:pPr>
              <w:spacing w:before="115"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90" w:type="dxa"/>
            <w:vMerge w:val="continue"/>
            <w:tcBorders>
              <w:top w:val="nil"/>
              <w:bottom w:val="nil"/>
            </w:tcBorders>
            <w:vAlign w:val="top"/>
          </w:tcPr>
          <w:p>
            <w:pPr>
              <w:rPr>
                <w:rFonts w:ascii="Arial"/>
                <w:sz w:val="21"/>
              </w:rPr>
            </w:pPr>
          </w:p>
        </w:tc>
        <w:tc>
          <w:tcPr>
            <w:tcW w:w="765" w:type="dxa"/>
            <w:vMerge w:val="continue"/>
            <w:tcBorders>
              <w:top w:val="nil"/>
              <w:bottom w:val="nil"/>
            </w:tcBorders>
            <w:vAlign w:val="top"/>
          </w:tcPr>
          <w:p>
            <w:pPr>
              <w:rPr>
                <w:rFonts w:ascii="Arial"/>
                <w:sz w:val="21"/>
              </w:rPr>
            </w:pPr>
          </w:p>
        </w:tc>
        <w:tc>
          <w:tcPr>
            <w:tcW w:w="4363" w:type="dxa"/>
            <w:vMerge w:val="continue"/>
            <w:tcBorders>
              <w:top w:val="nil"/>
              <w:bottom w:val="nil"/>
            </w:tcBorders>
            <w:vAlign w:val="top"/>
          </w:tcPr>
          <w:p>
            <w:pPr>
              <w:rPr>
                <w:rFonts w:ascii="Arial"/>
                <w:sz w:val="21"/>
              </w:rPr>
            </w:pPr>
          </w:p>
        </w:tc>
        <w:tc>
          <w:tcPr>
            <w:tcW w:w="4543" w:type="dxa"/>
            <w:vAlign w:val="top"/>
          </w:tcPr>
          <w:p>
            <w:pPr>
              <w:pStyle w:val="6"/>
              <w:spacing w:before="80" w:line="224" w:lineRule="auto"/>
              <w:ind w:left="119"/>
            </w:pPr>
            <w:r>
              <w:rPr>
                <w:spacing w:val="7"/>
              </w:rPr>
              <w:t>制度内容或执行略有缺陷。</w:t>
            </w:r>
          </w:p>
        </w:tc>
        <w:tc>
          <w:tcPr>
            <w:tcW w:w="574" w:type="dxa"/>
            <w:vAlign w:val="top"/>
          </w:tcPr>
          <w:p>
            <w:pPr>
              <w:spacing w:before="115"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rPr>
                <w:rFonts w:ascii="Arial"/>
                <w:sz w:val="21"/>
              </w:rPr>
            </w:pPr>
          </w:p>
        </w:tc>
        <w:tc>
          <w:tcPr>
            <w:tcW w:w="12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90" w:type="dxa"/>
            <w:vMerge w:val="continue"/>
            <w:tcBorders>
              <w:top w:val="nil"/>
            </w:tcBorders>
            <w:vAlign w:val="top"/>
          </w:tcPr>
          <w:p>
            <w:pPr>
              <w:rPr>
                <w:rFonts w:ascii="Arial"/>
                <w:sz w:val="21"/>
              </w:rPr>
            </w:pPr>
          </w:p>
        </w:tc>
        <w:tc>
          <w:tcPr>
            <w:tcW w:w="765" w:type="dxa"/>
            <w:vMerge w:val="continue"/>
            <w:tcBorders>
              <w:top w:val="nil"/>
            </w:tcBorders>
            <w:vAlign w:val="top"/>
          </w:tcPr>
          <w:p>
            <w:pPr>
              <w:rPr>
                <w:rFonts w:ascii="Arial"/>
                <w:sz w:val="21"/>
              </w:rPr>
            </w:pPr>
          </w:p>
        </w:tc>
        <w:tc>
          <w:tcPr>
            <w:tcW w:w="4363" w:type="dxa"/>
            <w:vMerge w:val="continue"/>
            <w:tcBorders>
              <w:top w:val="nil"/>
            </w:tcBorders>
            <w:vAlign w:val="top"/>
          </w:tcPr>
          <w:p>
            <w:pPr>
              <w:rPr>
                <w:rFonts w:ascii="Arial"/>
                <w:sz w:val="21"/>
              </w:rPr>
            </w:pPr>
          </w:p>
        </w:tc>
        <w:tc>
          <w:tcPr>
            <w:tcW w:w="4543" w:type="dxa"/>
            <w:vAlign w:val="top"/>
          </w:tcPr>
          <w:p>
            <w:pPr>
              <w:pStyle w:val="6"/>
              <w:spacing w:before="119" w:line="224" w:lineRule="auto"/>
              <w:ind w:left="119"/>
            </w:pPr>
            <w:r>
              <w:rPr>
                <w:spacing w:val="8"/>
              </w:rPr>
              <w:t>无制度或者制度执行严重不足。</w:t>
            </w:r>
          </w:p>
        </w:tc>
        <w:tc>
          <w:tcPr>
            <w:tcW w:w="574" w:type="dxa"/>
            <w:vAlign w:val="top"/>
          </w:tcPr>
          <w:p>
            <w:pPr>
              <w:spacing w:before="154"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9" w:type="dxa"/>
            <w:vAlign w:val="top"/>
          </w:tcPr>
          <w:p>
            <w:pPr>
              <w:rPr>
                <w:rFonts w:ascii="Arial"/>
                <w:sz w:val="21"/>
              </w:rPr>
            </w:pPr>
          </w:p>
        </w:tc>
        <w:tc>
          <w:tcPr>
            <w:tcW w:w="1230" w:type="dxa"/>
            <w:vAlign w:val="top"/>
          </w:tcPr>
          <w:p>
            <w:pPr>
              <w:rPr>
                <w:rFonts w:ascii="Arial"/>
                <w:sz w:val="21"/>
              </w:rPr>
            </w:pPr>
          </w:p>
        </w:tc>
      </w:tr>
    </w:tbl>
    <w:p>
      <w:pPr>
        <w:spacing w:before="287" w:line="227" w:lineRule="auto"/>
        <w:ind w:left="5143"/>
        <w:outlineLvl w:val="0"/>
        <w:rPr>
          <w:rFonts w:ascii="黑体" w:hAnsi="黑体" w:eastAsia="黑体" w:cs="黑体"/>
          <w:sz w:val="31"/>
          <w:szCs w:val="31"/>
        </w:rPr>
      </w:pPr>
      <w:r>
        <w:rPr>
          <w:rFonts w:ascii="黑体" w:hAnsi="黑体" w:eastAsia="黑体" w:cs="黑体"/>
          <w:spacing w:val="3"/>
          <w:sz w:val="31"/>
          <w:szCs w:val="31"/>
        </w:rPr>
        <w:t>五、管理制度（共</w:t>
      </w:r>
      <w:r>
        <w:rPr>
          <w:rFonts w:ascii="黑体" w:hAnsi="黑体" w:eastAsia="黑体" w:cs="黑体"/>
          <w:spacing w:val="-57"/>
          <w:sz w:val="31"/>
          <w:szCs w:val="31"/>
        </w:rPr>
        <w:t xml:space="preserve"> </w:t>
      </w:r>
      <w:r>
        <w:rPr>
          <w:rFonts w:ascii="Times New Roman" w:hAnsi="Times New Roman" w:eastAsia="Times New Roman" w:cs="Times New Roman"/>
          <w:spacing w:val="3"/>
          <w:sz w:val="31"/>
          <w:szCs w:val="31"/>
        </w:rPr>
        <w:t>51</w:t>
      </w:r>
      <w:r>
        <w:rPr>
          <w:rFonts w:ascii="Times New Roman" w:hAnsi="Times New Roman" w:eastAsia="Times New Roman" w:cs="Times New Roman"/>
          <w:spacing w:val="23"/>
          <w:w w:val="101"/>
          <w:sz w:val="31"/>
          <w:szCs w:val="31"/>
        </w:rPr>
        <w:t xml:space="preserve"> </w:t>
      </w:r>
      <w:r>
        <w:rPr>
          <w:rFonts w:ascii="黑体" w:hAnsi="黑体" w:eastAsia="黑体" w:cs="黑体"/>
          <w:spacing w:val="3"/>
          <w:sz w:val="31"/>
          <w:szCs w:val="31"/>
        </w:rPr>
        <w:t>分）</w:t>
      </w:r>
    </w:p>
    <w:p>
      <w:pPr>
        <w:spacing w:line="91" w:lineRule="exact"/>
      </w:pPr>
    </w:p>
    <w:tbl>
      <w:tblPr>
        <w:tblStyle w:val="5"/>
        <w:tblW w:w="13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35"/>
        <w:gridCol w:w="4393"/>
        <w:gridCol w:w="4558"/>
        <w:gridCol w:w="555"/>
        <w:gridCol w:w="1114"/>
        <w:gridCol w:w="1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19" w:type="dxa"/>
            <w:textDirection w:val="tbRlV"/>
            <w:vAlign w:val="top"/>
          </w:tcPr>
          <w:p>
            <w:pPr>
              <w:spacing w:before="202" w:line="216" w:lineRule="auto"/>
              <w:ind w:left="36"/>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35" w:type="dxa"/>
            <w:vAlign w:val="top"/>
          </w:tcPr>
          <w:p>
            <w:pPr>
              <w:spacing w:before="36" w:line="234" w:lineRule="auto"/>
              <w:ind w:left="159" w:right="160"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393" w:type="dxa"/>
            <w:vAlign w:val="top"/>
          </w:tcPr>
          <w:p>
            <w:pPr>
              <w:spacing w:before="170" w:line="231" w:lineRule="auto"/>
              <w:ind w:left="1778"/>
              <w:rPr>
                <w:rFonts w:ascii="黑体" w:hAnsi="黑体" w:eastAsia="黑体" w:cs="黑体"/>
                <w:sz w:val="20"/>
                <w:szCs w:val="20"/>
              </w:rPr>
            </w:pPr>
            <w:r>
              <w:rPr>
                <w:rFonts w:ascii="黑体" w:hAnsi="黑体" w:eastAsia="黑体" w:cs="黑体"/>
                <w:spacing w:val="7"/>
                <w:sz w:val="20"/>
                <w:szCs w:val="20"/>
              </w:rPr>
              <w:t>核查内容</w:t>
            </w:r>
          </w:p>
        </w:tc>
        <w:tc>
          <w:tcPr>
            <w:tcW w:w="5113" w:type="dxa"/>
            <w:gridSpan w:val="2"/>
            <w:vAlign w:val="top"/>
          </w:tcPr>
          <w:p>
            <w:pPr>
              <w:spacing w:before="171" w:line="230" w:lineRule="auto"/>
              <w:ind w:left="2142"/>
              <w:rPr>
                <w:rFonts w:ascii="黑体" w:hAnsi="黑体" w:eastAsia="黑体" w:cs="黑体"/>
                <w:sz w:val="20"/>
                <w:szCs w:val="20"/>
              </w:rPr>
            </w:pPr>
            <w:r>
              <w:rPr>
                <w:rFonts w:ascii="黑体" w:hAnsi="黑体" w:eastAsia="黑体" w:cs="黑体"/>
                <w:spacing w:val="7"/>
                <w:sz w:val="20"/>
                <w:szCs w:val="20"/>
              </w:rPr>
              <w:t>评分标准</w:t>
            </w:r>
          </w:p>
        </w:tc>
        <w:tc>
          <w:tcPr>
            <w:tcW w:w="1114" w:type="dxa"/>
            <w:vAlign w:val="top"/>
          </w:tcPr>
          <w:p>
            <w:pPr>
              <w:spacing w:before="171" w:line="230" w:lineRule="auto"/>
              <w:ind w:left="144"/>
              <w:rPr>
                <w:rFonts w:ascii="黑体" w:hAnsi="黑体" w:eastAsia="黑体" w:cs="黑体"/>
                <w:sz w:val="20"/>
                <w:szCs w:val="20"/>
              </w:rPr>
            </w:pPr>
            <w:r>
              <w:rPr>
                <w:rFonts w:ascii="黑体" w:hAnsi="黑体" w:eastAsia="黑体" w:cs="黑体"/>
                <w:spacing w:val="7"/>
                <w:sz w:val="20"/>
                <w:szCs w:val="20"/>
              </w:rPr>
              <w:t>核查记录</w:t>
            </w:r>
          </w:p>
        </w:tc>
        <w:tc>
          <w:tcPr>
            <w:tcW w:w="1245" w:type="dxa"/>
            <w:vAlign w:val="top"/>
          </w:tcPr>
          <w:p>
            <w:pPr>
              <w:spacing w:before="171" w:line="231" w:lineRule="auto"/>
              <w:ind w:left="206"/>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61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8" w:line="195"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735" w:type="dxa"/>
            <w:vMerge w:val="restart"/>
            <w:tcBorders>
              <w:bottom w:val="nil"/>
            </w:tcBorders>
            <w:vAlign w:val="top"/>
          </w:tcPr>
          <w:p>
            <w:pPr>
              <w:spacing w:line="259" w:lineRule="auto"/>
              <w:rPr>
                <w:rFonts w:ascii="Arial"/>
                <w:sz w:val="21"/>
              </w:rPr>
            </w:pPr>
          </w:p>
          <w:p>
            <w:pPr>
              <w:pStyle w:val="6"/>
              <w:spacing w:before="65" w:line="225" w:lineRule="auto"/>
              <w:ind w:left="160"/>
            </w:pPr>
            <w:r>
              <w:rPr>
                <w:spacing w:val="4"/>
              </w:rPr>
              <w:t>采购</w:t>
            </w:r>
          </w:p>
          <w:p>
            <w:pPr>
              <w:pStyle w:val="6"/>
              <w:spacing w:before="34" w:line="227" w:lineRule="auto"/>
              <w:ind w:left="161"/>
            </w:pPr>
            <w:r>
              <w:rPr>
                <w:spacing w:val="4"/>
              </w:rPr>
              <w:t>管理</w:t>
            </w:r>
          </w:p>
          <w:p>
            <w:pPr>
              <w:pStyle w:val="6"/>
              <w:spacing w:before="35" w:line="228" w:lineRule="auto"/>
              <w:ind w:left="157"/>
            </w:pPr>
            <w:r>
              <w:rPr>
                <w:spacing w:val="6"/>
              </w:rPr>
              <w:t>及进</w:t>
            </w:r>
          </w:p>
          <w:p>
            <w:pPr>
              <w:pStyle w:val="6"/>
              <w:spacing w:before="33" w:line="227" w:lineRule="auto"/>
              <w:ind w:left="171"/>
            </w:pPr>
            <w:r>
              <w:rPr>
                <w:spacing w:val="-1"/>
              </w:rPr>
              <w:t>货查</w:t>
            </w:r>
          </w:p>
          <w:p>
            <w:pPr>
              <w:pStyle w:val="6"/>
              <w:spacing w:before="32" w:line="231" w:lineRule="auto"/>
              <w:ind w:left="161"/>
            </w:pPr>
            <w:r>
              <w:rPr>
                <w:spacing w:val="4"/>
              </w:rPr>
              <w:t>验记</w:t>
            </w:r>
          </w:p>
          <w:p>
            <w:pPr>
              <w:pStyle w:val="6"/>
              <w:spacing w:before="30" w:line="226" w:lineRule="auto"/>
              <w:ind w:left="274"/>
            </w:pPr>
            <w:r>
              <w:t>录</w:t>
            </w:r>
          </w:p>
        </w:tc>
        <w:tc>
          <w:tcPr>
            <w:tcW w:w="4393" w:type="dxa"/>
            <w:vMerge w:val="restart"/>
            <w:tcBorders>
              <w:bottom w:val="nil"/>
            </w:tcBorders>
            <w:vAlign w:val="top"/>
          </w:tcPr>
          <w:p>
            <w:pPr>
              <w:pStyle w:val="6"/>
              <w:spacing w:before="45" w:line="252" w:lineRule="auto"/>
              <w:ind w:left="109" w:right="105" w:firstLine="18"/>
            </w:pPr>
            <w:r>
              <w:rPr>
                <w:rFonts w:ascii="Times New Roman" w:hAnsi="Times New Roman" w:eastAsia="Times New Roman" w:cs="Times New Roman"/>
                <w:spacing w:val="9"/>
              </w:rPr>
              <w:t>1.</w:t>
            </w:r>
            <w:r>
              <w:rPr>
                <w:spacing w:val="9"/>
              </w:rPr>
              <w:t>应当建立并执行采购管理制度，规定原料、</w:t>
            </w:r>
            <w:r>
              <w:rPr>
                <w:spacing w:val="14"/>
              </w:rPr>
              <w:t xml:space="preserve"> </w:t>
            </w:r>
            <w:r>
              <w:rPr>
                <w:spacing w:val="8"/>
              </w:rPr>
              <w:t>相关产品验收标准。采购时，应当查验供货者</w:t>
            </w:r>
            <w:r>
              <w:rPr>
                <w:spacing w:val="11"/>
              </w:rPr>
              <w:t xml:space="preserve"> </w:t>
            </w:r>
            <w:r>
              <w:rPr>
                <w:spacing w:val="8"/>
              </w:rPr>
              <w:t>的许可证和产品合格证明；对无法提供合格证</w:t>
            </w:r>
            <w:r>
              <w:rPr>
                <w:spacing w:val="9"/>
              </w:rPr>
              <w:t xml:space="preserve"> </w:t>
            </w:r>
            <w:r>
              <w:rPr>
                <w:spacing w:val="8"/>
              </w:rPr>
              <w:t>明的原料、相关产品，应当按照相关产品标准</w:t>
            </w:r>
            <w:r>
              <w:rPr>
                <w:spacing w:val="11"/>
              </w:rPr>
              <w:t xml:space="preserve"> </w:t>
            </w:r>
            <w:r>
              <w:rPr>
                <w:spacing w:val="6"/>
              </w:rPr>
              <w:t>进行检验。</w:t>
            </w:r>
          </w:p>
          <w:p>
            <w:pPr>
              <w:pStyle w:val="6"/>
              <w:spacing w:before="32" w:line="243" w:lineRule="auto"/>
              <w:ind w:left="115" w:right="103" w:firstLine="1"/>
              <w:jc w:val="both"/>
            </w:pPr>
            <w:r>
              <w:rPr>
                <w:spacing w:val="8"/>
              </w:rPr>
              <w:t>应当建立并执行进货查验记录制度，记录采购</w:t>
            </w:r>
            <w:r>
              <w:rPr>
                <w:spacing w:val="1"/>
              </w:rPr>
              <w:t xml:space="preserve"> </w:t>
            </w:r>
            <w:r>
              <w:rPr>
                <w:spacing w:val="8"/>
              </w:rPr>
              <w:t>的原料、相关产品名称、规格、数量、生产日 期或者生产批号、保质期、进货日期以及供货</w:t>
            </w:r>
          </w:p>
        </w:tc>
        <w:tc>
          <w:tcPr>
            <w:tcW w:w="4558" w:type="dxa"/>
            <w:vAlign w:val="top"/>
          </w:tcPr>
          <w:p>
            <w:pPr>
              <w:pStyle w:val="6"/>
              <w:spacing w:before="76" w:line="224" w:lineRule="auto"/>
              <w:ind w:left="118"/>
            </w:pPr>
            <w:r>
              <w:rPr>
                <w:spacing w:val="6"/>
              </w:rPr>
              <w:t>符合规定要求。</w:t>
            </w:r>
          </w:p>
        </w:tc>
        <w:tc>
          <w:tcPr>
            <w:tcW w:w="555" w:type="dxa"/>
            <w:vAlign w:val="top"/>
          </w:tcPr>
          <w:p>
            <w:pPr>
              <w:spacing w:before="11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5" w:line="224" w:lineRule="auto"/>
              <w:ind w:left="119"/>
            </w:pPr>
            <w:r>
              <w:rPr>
                <w:spacing w:val="7"/>
              </w:rPr>
              <w:t>制度内容或执行略有不足。</w:t>
            </w:r>
          </w:p>
        </w:tc>
        <w:tc>
          <w:tcPr>
            <w:tcW w:w="555" w:type="dxa"/>
            <w:vAlign w:val="top"/>
          </w:tcPr>
          <w:p>
            <w:pPr>
              <w:spacing w:before="11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spacing w:line="303" w:lineRule="auto"/>
              <w:rPr>
                <w:rFonts w:ascii="Arial"/>
                <w:sz w:val="21"/>
              </w:rPr>
            </w:pPr>
          </w:p>
          <w:p>
            <w:pPr>
              <w:spacing w:line="304" w:lineRule="auto"/>
              <w:rPr>
                <w:rFonts w:ascii="Arial"/>
                <w:sz w:val="21"/>
              </w:rPr>
            </w:pPr>
          </w:p>
          <w:p>
            <w:pPr>
              <w:pStyle w:val="6"/>
              <w:spacing w:before="65" w:line="224" w:lineRule="auto"/>
              <w:ind w:left="119"/>
            </w:pPr>
            <w:r>
              <w:rPr>
                <w:spacing w:val="7"/>
              </w:rPr>
              <w:t>制度内容或执行严重不足。</w:t>
            </w:r>
          </w:p>
        </w:tc>
        <w:tc>
          <w:tcPr>
            <w:tcW w:w="555" w:type="dxa"/>
            <w:vAlign w:val="top"/>
          </w:tcPr>
          <w:p>
            <w:pPr>
              <w:spacing w:line="320" w:lineRule="auto"/>
              <w:rPr>
                <w:rFonts w:ascii="Arial"/>
                <w:sz w:val="21"/>
              </w:rPr>
            </w:pPr>
          </w:p>
          <w:p>
            <w:pPr>
              <w:spacing w:line="320"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6" w:type="default"/>
          <w:pgSz w:w="15840" w:h="12240"/>
          <w:pgMar w:top="1040" w:right="1337" w:bottom="897" w:left="1278" w:header="0" w:footer="724" w:gutter="0"/>
          <w:cols w:space="720" w:num="1"/>
        </w:sectPr>
      </w:pPr>
    </w:p>
    <w:p>
      <w:pPr>
        <w:spacing w:before="12"/>
      </w:pPr>
    </w:p>
    <w:p>
      <w:pPr>
        <w:spacing w:before="12"/>
      </w:pPr>
    </w:p>
    <w:p>
      <w:pPr>
        <w:spacing w:before="11"/>
      </w:pPr>
    </w:p>
    <w:tbl>
      <w:tblPr>
        <w:tblStyle w:val="5"/>
        <w:tblW w:w="13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35"/>
        <w:gridCol w:w="4393"/>
        <w:gridCol w:w="4558"/>
        <w:gridCol w:w="555"/>
        <w:gridCol w:w="1114"/>
        <w:gridCol w:w="1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19" w:type="dxa"/>
            <w:vMerge w:val="restart"/>
            <w:tcBorders>
              <w:bottom w:val="nil"/>
            </w:tcBorders>
            <w:vAlign w:val="top"/>
          </w:tcPr>
          <w:p>
            <w:pPr>
              <w:rPr>
                <w:rFonts w:ascii="Arial"/>
                <w:sz w:val="21"/>
              </w:rPr>
            </w:pPr>
          </w:p>
        </w:tc>
        <w:tc>
          <w:tcPr>
            <w:tcW w:w="735" w:type="dxa"/>
            <w:vMerge w:val="restart"/>
            <w:tcBorders>
              <w:bottom w:val="nil"/>
            </w:tcBorders>
            <w:vAlign w:val="top"/>
          </w:tcPr>
          <w:p>
            <w:pPr>
              <w:rPr>
                <w:rFonts w:ascii="Arial"/>
                <w:sz w:val="21"/>
              </w:rPr>
            </w:pPr>
          </w:p>
        </w:tc>
        <w:tc>
          <w:tcPr>
            <w:tcW w:w="4393" w:type="dxa"/>
            <w:vAlign w:val="top"/>
          </w:tcPr>
          <w:p>
            <w:pPr>
              <w:pStyle w:val="6"/>
              <w:spacing w:before="49" w:line="235" w:lineRule="auto"/>
              <w:ind w:left="120" w:right="105" w:hanging="7"/>
            </w:pPr>
            <w:r>
              <w:rPr>
                <w:spacing w:val="8"/>
              </w:rPr>
              <w:t>者名称、地址、联系方式等信息，保存相关记</w:t>
            </w:r>
            <w:r>
              <w:rPr>
                <w:spacing w:val="7"/>
              </w:rPr>
              <w:t xml:space="preserve"> </w:t>
            </w:r>
            <w:r>
              <w:rPr>
                <w:spacing w:val="4"/>
              </w:rPr>
              <w:t>录和凭证。</w:t>
            </w:r>
          </w:p>
        </w:tc>
        <w:tc>
          <w:tcPr>
            <w:tcW w:w="4558" w:type="dxa"/>
            <w:vAlign w:val="top"/>
          </w:tcPr>
          <w:p>
            <w:pPr>
              <w:rPr>
                <w:rFonts w:ascii="Arial"/>
                <w:sz w:val="21"/>
              </w:rPr>
            </w:pPr>
          </w:p>
        </w:tc>
        <w:tc>
          <w:tcPr>
            <w:tcW w:w="555" w:type="dxa"/>
            <w:vAlign w:val="top"/>
          </w:tcPr>
          <w:p>
            <w:pPr>
              <w:rPr>
                <w:rFonts w:ascii="Arial"/>
                <w:sz w:val="21"/>
              </w:rPr>
            </w:pP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pStyle w:val="6"/>
              <w:spacing w:before="146" w:line="248" w:lineRule="auto"/>
              <w:ind w:left="108" w:right="105" w:hanging="1"/>
            </w:pPr>
            <w:r>
              <w:rPr>
                <w:rFonts w:ascii="Times New Roman" w:hAnsi="Times New Roman" w:eastAsia="Times New Roman" w:cs="Times New Roman"/>
                <w:spacing w:val="10"/>
              </w:rPr>
              <w:t>2.</w:t>
            </w:r>
            <w:r>
              <w:rPr>
                <w:spacing w:val="10"/>
              </w:rPr>
              <w:t>应当建立并执行供应商审核制度，对原料、</w:t>
            </w:r>
            <w:r>
              <w:rPr>
                <w:spacing w:val="13"/>
              </w:rPr>
              <w:t xml:space="preserve"> </w:t>
            </w:r>
            <w:r>
              <w:rPr>
                <w:spacing w:val="8"/>
              </w:rPr>
              <w:t>相关产品名称供应商的确定、变更进行质量安</w:t>
            </w:r>
            <w:r>
              <w:rPr>
                <w:spacing w:val="11"/>
              </w:rPr>
              <w:t xml:space="preserve"> </w:t>
            </w:r>
            <w:r>
              <w:rPr>
                <w:spacing w:val="9"/>
              </w:rPr>
              <w:t>全评估，必要时进行现场质量安全审核。</w:t>
            </w:r>
          </w:p>
        </w:tc>
        <w:tc>
          <w:tcPr>
            <w:tcW w:w="4558" w:type="dxa"/>
            <w:vAlign w:val="top"/>
          </w:tcPr>
          <w:p>
            <w:pPr>
              <w:pStyle w:val="6"/>
              <w:spacing w:before="76" w:line="224" w:lineRule="auto"/>
              <w:ind w:left="118"/>
            </w:pPr>
            <w:r>
              <w:rPr>
                <w:spacing w:val="6"/>
              </w:rPr>
              <w:t>符合规定要求。</w:t>
            </w:r>
          </w:p>
        </w:tc>
        <w:tc>
          <w:tcPr>
            <w:tcW w:w="555" w:type="dxa"/>
            <w:vAlign w:val="top"/>
          </w:tcPr>
          <w:p>
            <w:pPr>
              <w:spacing w:before="10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7" w:line="224" w:lineRule="auto"/>
              <w:ind w:left="119"/>
            </w:pPr>
            <w:r>
              <w:rPr>
                <w:spacing w:val="7"/>
              </w:rPr>
              <w:t>制度内容或执行略有不足。</w:t>
            </w:r>
          </w:p>
        </w:tc>
        <w:tc>
          <w:tcPr>
            <w:tcW w:w="555" w:type="dxa"/>
            <w:vAlign w:val="top"/>
          </w:tcPr>
          <w:p>
            <w:pPr>
              <w:spacing w:before="10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78" w:line="224" w:lineRule="auto"/>
              <w:ind w:left="119"/>
            </w:pPr>
            <w:r>
              <w:rPr>
                <w:spacing w:val="7"/>
              </w:rPr>
              <w:t>制度内容或执行严重不足。</w:t>
            </w:r>
          </w:p>
        </w:tc>
        <w:tc>
          <w:tcPr>
            <w:tcW w:w="555" w:type="dxa"/>
            <w:vAlign w:val="top"/>
          </w:tcPr>
          <w:p>
            <w:pPr>
              <w:spacing w:before="104"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pStyle w:val="6"/>
              <w:spacing w:before="147" w:line="248" w:lineRule="auto"/>
              <w:ind w:left="109" w:right="106" w:firstLine="2"/>
              <w:jc w:val="both"/>
            </w:pPr>
            <w:r>
              <w:rPr>
                <w:rFonts w:ascii="Times New Roman" w:hAnsi="Times New Roman" w:eastAsia="Times New Roman" w:cs="Times New Roman"/>
                <w:spacing w:val="10"/>
              </w:rPr>
              <w:t>3.</w:t>
            </w:r>
            <w:r>
              <w:rPr>
                <w:spacing w:val="10"/>
              </w:rPr>
              <w:t>应当建立并执行原料、相关产品贮存管理制</w:t>
            </w:r>
            <w:r>
              <w:rPr>
                <w:spacing w:val="8"/>
              </w:rPr>
              <w:t xml:space="preserve"> 度，明确物料贮存条件、标识、使用期限以及</w:t>
            </w:r>
            <w:r>
              <w:rPr>
                <w:spacing w:val="9"/>
              </w:rPr>
              <w:t xml:space="preserve"> </w:t>
            </w:r>
            <w:r>
              <w:rPr>
                <w:spacing w:val="7"/>
              </w:rPr>
              <w:t>相关管理要求。</w:t>
            </w:r>
          </w:p>
        </w:tc>
        <w:tc>
          <w:tcPr>
            <w:tcW w:w="4558" w:type="dxa"/>
            <w:vAlign w:val="top"/>
          </w:tcPr>
          <w:p>
            <w:pPr>
              <w:pStyle w:val="6"/>
              <w:spacing w:before="79" w:line="224" w:lineRule="auto"/>
              <w:ind w:left="118"/>
            </w:pPr>
            <w:r>
              <w:rPr>
                <w:spacing w:val="6"/>
              </w:rPr>
              <w:t>符合规定要求。</w:t>
            </w:r>
          </w:p>
        </w:tc>
        <w:tc>
          <w:tcPr>
            <w:tcW w:w="555" w:type="dxa"/>
            <w:vAlign w:val="top"/>
          </w:tcPr>
          <w:p>
            <w:pPr>
              <w:spacing w:before="10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7" w:line="224" w:lineRule="auto"/>
              <w:ind w:left="119"/>
            </w:pPr>
            <w:r>
              <w:rPr>
                <w:spacing w:val="7"/>
              </w:rPr>
              <w:t>制度内容或执行略有不足。</w:t>
            </w:r>
          </w:p>
        </w:tc>
        <w:tc>
          <w:tcPr>
            <w:tcW w:w="555" w:type="dxa"/>
            <w:vAlign w:val="top"/>
          </w:tcPr>
          <w:p>
            <w:pPr>
              <w:spacing w:before="105"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77" w:line="224" w:lineRule="auto"/>
              <w:ind w:left="119"/>
            </w:pPr>
            <w:r>
              <w:rPr>
                <w:spacing w:val="7"/>
              </w:rPr>
              <w:t>制度内容或执行严重不足。</w:t>
            </w:r>
          </w:p>
        </w:tc>
        <w:tc>
          <w:tcPr>
            <w:tcW w:w="555" w:type="dxa"/>
            <w:vAlign w:val="top"/>
          </w:tcPr>
          <w:p>
            <w:pPr>
              <w:spacing w:before="103"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735"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248" w:lineRule="auto"/>
              <w:ind w:left="162" w:right="160" w:firstLine="10"/>
              <w:jc w:val="both"/>
            </w:pPr>
            <w:r>
              <w:rPr>
                <w:spacing w:val="-2"/>
              </w:rPr>
              <w:t>生产</w:t>
            </w:r>
            <w:r>
              <w:t xml:space="preserve"> </w:t>
            </w:r>
            <w:r>
              <w:rPr>
                <w:spacing w:val="3"/>
              </w:rPr>
              <w:t>过程</w:t>
            </w:r>
            <w:r>
              <w:t xml:space="preserve"> </w:t>
            </w:r>
            <w:r>
              <w:rPr>
                <w:spacing w:val="3"/>
              </w:rPr>
              <w:t>控制</w:t>
            </w:r>
          </w:p>
        </w:tc>
        <w:tc>
          <w:tcPr>
            <w:tcW w:w="4393" w:type="dxa"/>
            <w:vMerge w:val="restart"/>
            <w:tcBorders>
              <w:bottom w:val="nil"/>
            </w:tcBorders>
            <w:vAlign w:val="top"/>
          </w:tcPr>
          <w:p>
            <w:pPr>
              <w:pStyle w:val="6"/>
              <w:spacing w:before="49" w:line="250" w:lineRule="auto"/>
              <w:ind w:left="108" w:right="101" w:firstLine="19"/>
              <w:jc w:val="both"/>
            </w:pPr>
            <w:r>
              <w:rPr>
                <w:rFonts w:ascii="Times New Roman" w:hAnsi="Times New Roman" w:eastAsia="Times New Roman" w:cs="Times New Roman"/>
                <w:spacing w:val="9"/>
              </w:rPr>
              <w:t>1.</w:t>
            </w:r>
            <w:r>
              <w:rPr>
                <w:spacing w:val="9"/>
              </w:rPr>
              <w:t>应当建立并执行生产过程控制管理制度，制</w:t>
            </w:r>
            <w:r>
              <w:rPr>
                <w:spacing w:val="13"/>
              </w:rPr>
              <w:t xml:space="preserve"> </w:t>
            </w:r>
            <w:r>
              <w:rPr>
                <w:spacing w:val="17"/>
              </w:rPr>
              <w:t>定所需的操作规程或作业指导书，</w:t>
            </w:r>
            <w:r>
              <w:rPr>
                <w:spacing w:val="-50"/>
              </w:rPr>
              <w:t xml:space="preserve"> </w:t>
            </w:r>
            <w:r>
              <w:rPr>
                <w:spacing w:val="17"/>
              </w:rPr>
              <w:t>明确原料</w:t>
            </w:r>
            <w:r>
              <w:t xml:space="preserve"> </w:t>
            </w:r>
            <w:r>
              <w:rPr>
                <w:spacing w:val="8"/>
              </w:rPr>
              <w:t>（如领料、投料、余料管理等）、生产关键环</w:t>
            </w:r>
            <w:r>
              <w:rPr>
                <w:spacing w:val="15"/>
              </w:rPr>
              <w:t xml:space="preserve"> </w:t>
            </w:r>
            <w:r>
              <w:rPr>
                <w:spacing w:val="8"/>
              </w:rPr>
              <w:t>节（如生产工序、设备、贮存、包装等）控制</w:t>
            </w:r>
            <w:r>
              <w:rPr>
                <w:spacing w:val="17"/>
              </w:rPr>
              <w:t xml:space="preserve"> </w:t>
            </w:r>
            <w:r>
              <w:rPr>
                <w:spacing w:val="8"/>
              </w:rPr>
              <w:t>的相关要求，防止交叉污染，并记录产品的加</w:t>
            </w:r>
            <w:r>
              <w:rPr>
                <w:spacing w:val="13"/>
              </w:rPr>
              <w:t xml:space="preserve"> </w:t>
            </w:r>
            <w:r>
              <w:rPr>
                <w:spacing w:val="8"/>
              </w:rPr>
              <w:t>工过程（包括工艺参数、环境监测等）。</w:t>
            </w:r>
          </w:p>
        </w:tc>
        <w:tc>
          <w:tcPr>
            <w:tcW w:w="4558" w:type="dxa"/>
            <w:vAlign w:val="top"/>
          </w:tcPr>
          <w:p>
            <w:pPr>
              <w:pStyle w:val="6"/>
              <w:spacing w:before="78" w:line="224" w:lineRule="auto"/>
              <w:ind w:left="118"/>
            </w:pPr>
            <w:r>
              <w:rPr>
                <w:spacing w:val="6"/>
              </w:rPr>
              <w:t>符合规定要求。</w:t>
            </w:r>
          </w:p>
        </w:tc>
        <w:tc>
          <w:tcPr>
            <w:tcW w:w="555" w:type="dxa"/>
            <w:vAlign w:val="top"/>
          </w:tcPr>
          <w:p>
            <w:pPr>
              <w:spacing w:before="103"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8" w:line="224" w:lineRule="auto"/>
              <w:ind w:left="114"/>
            </w:pPr>
            <w:r>
              <w:rPr>
                <w:spacing w:val="8"/>
              </w:rPr>
              <w:t>个别制度内容或执行略有不足。</w:t>
            </w:r>
          </w:p>
        </w:tc>
        <w:tc>
          <w:tcPr>
            <w:tcW w:w="555" w:type="dxa"/>
            <w:vAlign w:val="top"/>
          </w:tcPr>
          <w:p>
            <w:pPr>
              <w:spacing w:before="10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spacing w:line="331" w:lineRule="auto"/>
              <w:rPr>
                <w:rFonts w:ascii="Arial"/>
                <w:sz w:val="21"/>
              </w:rPr>
            </w:pPr>
          </w:p>
          <w:p>
            <w:pPr>
              <w:pStyle w:val="6"/>
              <w:spacing w:before="65" w:line="224" w:lineRule="auto"/>
              <w:ind w:left="119"/>
            </w:pPr>
            <w:r>
              <w:rPr>
                <w:spacing w:val="7"/>
              </w:rPr>
              <w:t>制度内容或执行严重不足。</w:t>
            </w:r>
          </w:p>
        </w:tc>
        <w:tc>
          <w:tcPr>
            <w:tcW w:w="555" w:type="dxa"/>
            <w:vAlign w:val="top"/>
          </w:tcPr>
          <w:p>
            <w:pPr>
              <w:spacing w:line="363"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pStyle w:val="6"/>
              <w:spacing w:before="289" w:line="242" w:lineRule="auto"/>
              <w:ind w:left="117" w:right="105" w:hanging="10"/>
            </w:pPr>
            <w:r>
              <w:rPr>
                <w:rFonts w:ascii="Times New Roman" w:hAnsi="Times New Roman" w:eastAsia="Times New Roman" w:cs="Times New Roman"/>
                <w:spacing w:val="10"/>
              </w:rPr>
              <w:t>2.</w:t>
            </w:r>
            <w:r>
              <w:rPr>
                <w:spacing w:val="10"/>
              </w:rPr>
              <w:t>应当建立并执行产品清场、清洁消毒等控制</w:t>
            </w:r>
            <w:r>
              <w:rPr>
                <w:spacing w:val="13"/>
              </w:rPr>
              <w:t xml:space="preserve"> </w:t>
            </w:r>
            <w:r>
              <w:rPr>
                <w:spacing w:val="8"/>
              </w:rPr>
              <w:t>要求，防止生产加工过程中产品受到污染。</w:t>
            </w:r>
          </w:p>
        </w:tc>
        <w:tc>
          <w:tcPr>
            <w:tcW w:w="4558" w:type="dxa"/>
            <w:vAlign w:val="top"/>
          </w:tcPr>
          <w:p>
            <w:pPr>
              <w:pStyle w:val="6"/>
              <w:spacing w:before="78" w:line="224" w:lineRule="auto"/>
              <w:ind w:left="118"/>
            </w:pPr>
            <w:r>
              <w:rPr>
                <w:spacing w:val="6"/>
              </w:rPr>
              <w:t>符合规定要求。</w:t>
            </w:r>
          </w:p>
        </w:tc>
        <w:tc>
          <w:tcPr>
            <w:tcW w:w="555" w:type="dxa"/>
            <w:vAlign w:val="top"/>
          </w:tcPr>
          <w:p>
            <w:pPr>
              <w:spacing w:before="10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9" w:line="224" w:lineRule="auto"/>
              <w:ind w:left="114"/>
            </w:pPr>
            <w:r>
              <w:rPr>
                <w:spacing w:val="8"/>
              </w:rPr>
              <w:t>个别制度内容或执行略有不足。</w:t>
            </w:r>
          </w:p>
        </w:tc>
        <w:tc>
          <w:tcPr>
            <w:tcW w:w="555" w:type="dxa"/>
            <w:vAlign w:val="top"/>
          </w:tcPr>
          <w:p>
            <w:pPr>
              <w:spacing w:before="10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79" w:line="224" w:lineRule="auto"/>
              <w:ind w:left="119"/>
            </w:pPr>
            <w:r>
              <w:rPr>
                <w:spacing w:val="7"/>
              </w:rPr>
              <w:t>制度内容或执行严重不足。</w:t>
            </w:r>
          </w:p>
        </w:tc>
        <w:tc>
          <w:tcPr>
            <w:tcW w:w="555" w:type="dxa"/>
            <w:vAlign w:val="top"/>
          </w:tcPr>
          <w:p>
            <w:pPr>
              <w:spacing w:before="104"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pStyle w:val="6"/>
              <w:spacing w:before="38" w:line="246" w:lineRule="auto"/>
              <w:ind w:left="111" w:right="105"/>
              <w:jc w:val="both"/>
            </w:pPr>
            <w:r>
              <w:rPr>
                <w:rFonts w:ascii="Times New Roman" w:hAnsi="Times New Roman" w:eastAsia="Times New Roman" w:cs="Times New Roman"/>
                <w:spacing w:val="19"/>
              </w:rPr>
              <w:t>3.</w:t>
            </w:r>
            <w:r>
              <w:rPr>
                <w:rFonts w:ascii="Times New Roman" w:hAnsi="Times New Roman" w:eastAsia="Times New Roman" w:cs="Times New Roman"/>
                <w:spacing w:val="-12"/>
              </w:rPr>
              <w:t xml:space="preserve"> </w:t>
            </w:r>
            <w:r>
              <w:rPr>
                <w:spacing w:val="19"/>
              </w:rPr>
              <w:t>应当建立并执行商品化产品的生产管理要</w:t>
            </w:r>
            <w:r>
              <w:t xml:space="preserve"> </w:t>
            </w:r>
            <w:r>
              <w:rPr>
                <w:spacing w:val="8"/>
              </w:rPr>
              <w:t>求。企业生产食品安全国家标准规定的食品添</w:t>
            </w:r>
            <w:r>
              <w:rPr>
                <w:spacing w:val="6"/>
              </w:rPr>
              <w:t xml:space="preserve"> </w:t>
            </w:r>
            <w:r>
              <w:rPr>
                <w:spacing w:val="8"/>
              </w:rPr>
              <w:t>加剂商品化产品的，应当制定商品化产品生产</w:t>
            </w:r>
            <w:r>
              <w:rPr>
                <w:spacing w:val="9"/>
              </w:rPr>
              <w:t xml:space="preserve"> </w:t>
            </w:r>
            <w:r>
              <w:rPr>
                <w:spacing w:val="8"/>
              </w:rPr>
              <w:t>管理制度，明确该产品的质量控制要求，按相</w:t>
            </w:r>
            <w:r>
              <w:rPr>
                <w:spacing w:val="9"/>
              </w:rPr>
              <w:t xml:space="preserve"> </w:t>
            </w:r>
            <w:r>
              <w:rPr>
                <w:spacing w:val="8"/>
              </w:rPr>
              <w:t>应的食品安全国家标准生产。</w:t>
            </w:r>
          </w:p>
          <w:p>
            <w:pPr>
              <w:pStyle w:val="6"/>
              <w:spacing w:before="25" w:line="242" w:lineRule="auto"/>
              <w:ind w:left="110" w:right="105" w:firstLine="10"/>
              <w:jc w:val="both"/>
            </w:pPr>
            <w:r>
              <w:rPr>
                <w:spacing w:val="19"/>
              </w:rPr>
              <w:t>商品化产品应以符合食品安全国家标准的食</w:t>
            </w:r>
            <w:r>
              <w:t xml:space="preserve"> </w:t>
            </w:r>
            <w:r>
              <w:rPr>
                <w:spacing w:val="8"/>
              </w:rPr>
              <w:t xml:space="preserve">品添加剂为原料，可添加工艺所必需的食品原 </w:t>
            </w:r>
            <w:r>
              <w:rPr>
                <w:spacing w:val="5"/>
              </w:rPr>
              <w:t>料和</w:t>
            </w:r>
            <w:r>
              <w:rPr>
                <w:rFonts w:ascii="Times New Roman" w:hAnsi="Times New Roman" w:eastAsia="Times New Roman" w:cs="Times New Roman"/>
                <w:spacing w:val="5"/>
              </w:rPr>
              <w:t>/</w:t>
            </w:r>
            <w:r>
              <w:rPr>
                <w:spacing w:val="5"/>
              </w:rPr>
              <w:t>或食品添加剂作为辅料。食品添加剂应为</w:t>
            </w:r>
            <w:r>
              <w:rPr>
                <w:spacing w:val="10"/>
              </w:rPr>
              <w:t xml:space="preserve"> </w:t>
            </w:r>
            <w:r>
              <w:rPr>
                <w:spacing w:val="8"/>
              </w:rPr>
              <w:t>该商品化产品自身工艺所必需。</w:t>
            </w:r>
          </w:p>
        </w:tc>
        <w:tc>
          <w:tcPr>
            <w:tcW w:w="4558" w:type="dxa"/>
            <w:vAlign w:val="top"/>
          </w:tcPr>
          <w:p>
            <w:pPr>
              <w:pStyle w:val="6"/>
              <w:spacing w:before="79" w:line="224" w:lineRule="auto"/>
              <w:ind w:left="118"/>
            </w:pPr>
            <w:r>
              <w:rPr>
                <w:spacing w:val="6"/>
              </w:rPr>
              <w:t>符合规定要求。</w:t>
            </w:r>
          </w:p>
        </w:tc>
        <w:tc>
          <w:tcPr>
            <w:tcW w:w="555" w:type="dxa"/>
            <w:vAlign w:val="top"/>
          </w:tcPr>
          <w:p>
            <w:pPr>
              <w:spacing w:before="105"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80" w:line="224" w:lineRule="auto"/>
              <w:ind w:left="114"/>
            </w:pPr>
            <w:r>
              <w:rPr>
                <w:spacing w:val="8"/>
              </w:rPr>
              <w:t>个别制度内容或执行略有不足。</w:t>
            </w:r>
          </w:p>
        </w:tc>
        <w:tc>
          <w:tcPr>
            <w:tcW w:w="555" w:type="dxa"/>
            <w:vAlign w:val="top"/>
          </w:tcPr>
          <w:p>
            <w:pPr>
              <w:spacing w:before="105"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spacing w:line="357" w:lineRule="auto"/>
              <w:rPr>
                <w:rFonts w:ascii="Arial"/>
                <w:sz w:val="21"/>
              </w:rPr>
            </w:pPr>
          </w:p>
          <w:p>
            <w:pPr>
              <w:spacing w:line="357" w:lineRule="auto"/>
              <w:rPr>
                <w:rFonts w:ascii="Arial"/>
                <w:sz w:val="21"/>
              </w:rPr>
            </w:pPr>
          </w:p>
          <w:p>
            <w:pPr>
              <w:pStyle w:val="6"/>
              <w:spacing w:before="65" w:line="224" w:lineRule="auto"/>
              <w:ind w:left="119"/>
            </w:pPr>
            <w:r>
              <w:rPr>
                <w:spacing w:val="7"/>
              </w:rPr>
              <w:t>制度内容或执行严重不足。</w:t>
            </w:r>
          </w:p>
        </w:tc>
        <w:tc>
          <w:tcPr>
            <w:tcW w:w="55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before="290"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735" w:type="dxa"/>
            <w:vMerge w:val="restart"/>
            <w:tcBorders>
              <w:bottom w:val="nil"/>
            </w:tcBorders>
            <w:vAlign w:val="top"/>
          </w:tcPr>
          <w:p>
            <w:pPr>
              <w:pStyle w:val="6"/>
              <w:spacing w:before="116" w:line="242" w:lineRule="auto"/>
              <w:ind w:left="160" w:right="160" w:hanging="3"/>
            </w:pPr>
            <w:r>
              <w:rPr>
                <w:spacing w:val="6"/>
              </w:rPr>
              <w:t>检验</w:t>
            </w:r>
            <w:r>
              <w:t xml:space="preserve"> </w:t>
            </w:r>
            <w:r>
              <w:rPr>
                <w:spacing w:val="4"/>
              </w:rPr>
              <w:t>管理</w:t>
            </w:r>
          </w:p>
        </w:tc>
        <w:tc>
          <w:tcPr>
            <w:tcW w:w="4393" w:type="dxa"/>
            <w:vMerge w:val="restart"/>
            <w:tcBorders>
              <w:bottom w:val="nil"/>
            </w:tcBorders>
            <w:vAlign w:val="top"/>
          </w:tcPr>
          <w:p>
            <w:pPr>
              <w:pStyle w:val="6"/>
              <w:spacing w:before="116"/>
              <w:ind w:left="112" w:right="105" w:firstLine="15"/>
            </w:pPr>
            <w:r>
              <w:rPr>
                <w:rFonts w:ascii="Times New Roman" w:hAnsi="Times New Roman" w:eastAsia="Times New Roman" w:cs="Times New Roman"/>
                <w:spacing w:val="9"/>
              </w:rPr>
              <w:t>1.</w:t>
            </w:r>
            <w:r>
              <w:rPr>
                <w:spacing w:val="9"/>
              </w:rPr>
              <w:t>应当建立并执行检验管理制度，规定原料检</w:t>
            </w:r>
            <w:r>
              <w:rPr>
                <w:spacing w:val="13"/>
              </w:rPr>
              <w:t xml:space="preserve"> </w:t>
            </w:r>
            <w:r>
              <w:rPr>
                <w:spacing w:val="8"/>
              </w:rPr>
              <w:t>验、过程检验、产品出厂检验以及产品留样的</w:t>
            </w:r>
          </w:p>
        </w:tc>
        <w:tc>
          <w:tcPr>
            <w:tcW w:w="4558" w:type="dxa"/>
            <w:vAlign w:val="top"/>
          </w:tcPr>
          <w:p>
            <w:pPr>
              <w:pStyle w:val="6"/>
              <w:spacing w:before="79" w:line="224" w:lineRule="auto"/>
              <w:ind w:left="118"/>
            </w:pPr>
            <w:r>
              <w:rPr>
                <w:spacing w:val="6"/>
              </w:rPr>
              <w:t>符合规定要求。</w:t>
            </w:r>
          </w:p>
        </w:tc>
        <w:tc>
          <w:tcPr>
            <w:tcW w:w="555" w:type="dxa"/>
            <w:vAlign w:val="top"/>
          </w:tcPr>
          <w:p>
            <w:pPr>
              <w:spacing w:before="105"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80" w:line="224" w:lineRule="auto"/>
              <w:ind w:left="119"/>
            </w:pPr>
            <w:r>
              <w:rPr>
                <w:spacing w:val="7"/>
              </w:rPr>
              <w:t>制度内容或执行略有不足。</w:t>
            </w:r>
          </w:p>
        </w:tc>
        <w:tc>
          <w:tcPr>
            <w:tcW w:w="555" w:type="dxa"/>
            <w:vAlign w:val="top"/>
          </w:tcPr>
          <w:p>
            <w:pPr>
              <w:spacing w:before="115"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7" w:type="default"/>
          <w:pgSz w:w="15840" w:h="12240"/>
          <w:pgMar w:top="1040" w:right="1337" w:bottom="897" w:left="1278" w:header="0" w:footer="724" w:gutter="0"/>
          <w:cols w:space="720" w:num="1"/>
        </w:sectPr>
      </w:pPr>
    </w:p>
    <w:p>
      <w:pPr>
        <w:spacing w:before="12"/>
      </w:pPr>
    </w:p>
    <w:p>
      <w:pPr>
        <w:spacing w:before="12"/>
      </w:pPr>
    </w:p>
    <w:p>
      <w:pPr>
        <w:spacing w:before="11"/>
      </w:pPr>
    </w:p>
    <w:tbl>
      <w:tblPr>
        <w:tblStyle w:val="5"/>
        <w:tblW w:w="13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35"/>
        <w:gridCol w:w="4393"/>
        <w:gridCol w:w="4558"/>
        <w:gridCol w:w="555"/>
        <w:gridCol w:w="1114"/>
        <w:gridCol w:w="1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619" w:type="dxa"/>
            <w:vMerge w:val="restart"/>
            <w:tcBorders>
              <w:bottom w:val="nil"/>
            </w:tcBorders>
            <w:vAlign w:val="top"/>
          </w:tcPr>
          <w:p>
            <w:pPr>
              <w:rPr>
                <w:rFonts w:ascii="Arial"/>
                <w:sz w:val="21"/>
              </w:rPr>
            </w:pPr>
          </w:p>
        </w:tc>
        <w:tc>
          <w:tcPr>
            <w:tcW w:w="735" w:type="dxa"/>
            <w:vMerge w:val="restart"/>
            <w:tcBorders>
              <w:bottom w:val="nil"/>
            </w:tcBorders>
            <w:vAlign w:val="top"/>
          </w:tcPr>
          <w:p>
            <w:pPr>
              <w:pStyle w:val="6"/>
              <w:spacing w:before="50" w:line="228" w:lineRule="auto"/>
              <w:ind w:left="157"/>
            </w:pPr>
            <w:r>
              <w:rPr>
                <w:spacing w:val="6"/>
              </w:rPr>
              <w:t>及出</w:t>
            </w:r>
          </w:p>
          <w:p>
            <w:pPr>
              <w:pStyle w:val="6"/>
              <w:spacing w:before="33" w:line="223" w:lineRule="auto"/>
              <w:ind w:left="165"/>
            </w:pPr>
            <w:r>
              <w:rPr>
                <w:spacing w:val="2"/>
              </w:rPr>
              <w:t>厂检</w:t>
            </w:r>
          </w:p>
          <w:p>
            <w:pPr>
              <w:pStyle w:val="6"/>
              <w:spacing w:before="36" w:line="231" w:lineRule="auto"/>
              <w:ind w:left="161"/>
            </w:pPr>
            <w:r>
              <w:rPr>
                <w:spacing w:val="4"/>
              </w:rPr>
              <w:t>验记</w:t>
            </w:r>
          </w:p>
          <w:p>
            <w:pPr>
              <w:pStyle w:val="6"/>
              <w:spacing w:before="30" w:line="226" w:lineRule="auto"/>
              <w:ind w:left="274"/>
            </w:pPr>
            <w:r>
              <w:t>录</w:t>
            </w:r>
          </w:p>
        </w:tc>
        <w:tc>
          <w:tcPr>
            <w:tcW w:w="4393" w:type="dxa"/>
            <w:vAlign w:val="top"/>
          </w:tcPr>
          <w:p>
            <w:pPr>
              <w:pStyle w:val="6"/>
              <w:spacing w:before="50" w:line="252" w:lineRule="auto"/>
              <w:ind w:left="111" w:right="105" w:firstLine="3"/>
              <w:jc w:val="both"/>
            </w:pPr>
            <w:r>
              <w:rPr>
                <w:spacing w:val="8"/>
              </w:rPr>
              <w:t>方式及要求，应当按照食品安全国家标准、国</w:t>
            </w:r>
            <w:r>
              <w:rPr>
                <w:spacing w:val="6"/>
              </w:rPr>
              <w:t xml:space="preserve"> </w:t>
            </w:r>
            <w:r>
              <w:rPr>
                <w:spacing w:val="19"/>
              </w:rPr>
              <w:t>务院卫生行政部门公告规定的项目对所生产</w:t>
            </w:r>
            <w:r>
              <w:rPr>
                <w:spacing w:val="8"/>
              </w:rPr>
              <w:t xml:space="preserve"> 的食品添加剂出厂逐批检验，保存相关检验和</w:t>
            </w:r>
            <w:r>
              <w:rPr>
                <w:spacing w:val="9"/>
              </w:rPr>
              <w:t xml:space="preserve"> </w:t>
            </w:r>
            <w:r>
              <w:rPr>
                <w:spacing w:val="8"/>
              </w:rPr>
              <w:t>留样记录。委托检验的，应当委托有资质的机</w:t>
            </w:r>
            <w:r>
              <w:rPr>
                <w:spacing w:val="9"/>
              </w:rPr>
              <w:t xml:space="preserve"> </w:t>
            </w:r>
            <w:r>
              <w:rPr>
                <w:spacing w:val="6"/>
              </w:rPr>
              <w:t>构进行检验。</w:t>
            </w:r>
          </w:p>
          <w:p>
            <w:pPr>
              <w:pStyle w:val="6"/>
              <w:spacing w:before="30" w:line="251" w:lineRule="auto"/>
              <w:ind w:left="111" w:right="103" w:firstLine="5"/>
              <w:jc w:val="both"/>
            </w:pPr>
            <w:r>
              <w:rPr>
                <w:spacing w:val="8"/>
              </w:rPr>
              <w:t>应当建立并执行产品出厂检验记录制度，规定</w:t>
            </w:r>
            <w:r>
              <w:rPr>
                <w:spacing w:val="2"/>
              </w:rPr>
              <w:t xml:space="preserve"> </w:t>
            </w:r>
            <w:r>
              <w:rPr>
                <w:spacing w:val="8"/>
              </w:rPr>
              <w:t>产品出厂时，查验出厂产品的安全状况和检验</w:t>
            </w:r>
            <w:r>
              <w:rPr>
                <w:spacing w:val="6"/>
              </w:rPr>
              <w:t xml:space="preserve"> </w:t>
            </w:r>
            <w:r>
              <w:rPr>
                <w:spacing w:val="8"/>
              </w:rPr>
              <w:t>合格证明，记录产品的名称、规格、数量、生</w:t>
            </w:r>
            <w:r>
              <w:rPr>
                <w:spacing w:val="11"/>
              </w:rPr>
              <w:t xml:space="preserve"> </w:t>
            </w:r>
            <w:r>
              <w:rPr>
                <w:spacing w:val="8"/>
              </w:rPr>
              <w:t>产日期或者生产批号、保质期、检验合格证明</w:t>
            </w:r>
            <w:r>
              <w:rPr>
                <w:spacing w:val="9"/>
              </w:rPr>
              <w:t xml:space="preserve"> </w:t>
            </w:r>
            <w:r>
              <w:rPr>
                <w:spacing w:val="8"/>
              </w:rPr>
              <w:t>编号、销售日期以及购货者名称、地址、联系</w:t>
            </w:r>
            <w:r>
              <w:rPr>
                <w:spacing w:val="7"/>
              </w:rPr>
              <w:t xml:space="preserve"> </w:t>
            </w:r>
            <w:r>
              <w:rPr>
                <w:spacing w:val="8"/>
              </w:rPr>
              <w:t>方式等信息，保存相关记录和凭证。</w:t>
            </w:r>
          </w:p>
        </w:tc>
        <w:tc>
          <w:tcPr>
            <w:tcW w:w="4558" w:type="dxa"/>
            <w:vAlign w:val="top"/>
          </w:tcPr>
          <w:p>
            <w:pPr>
              <w:spacing w:line="270" w:lineRule="auto"/>
              <w:rPr>
                <w:rFonts w:ascii="Arial"/>
                <w:sz w:val="21"/>
              </w:rPr>
            </w:pPr>
          </w:p>
          <w:p>
            <w:pPr>
              <w:spacing w:line="271" w:lineRule="auto"/>
              <w:rPr>
                <w:rFonts w:ascii="Arial"/>
                <w:sz w:val="21"/>
              </w:rPr>
            </w:pPr>
          </w:p>
          <w:p>
            <w:pPr>
              <w:pStyle w:val="6"/>
              <w:spacing w:before="65" w:line="244" w:lineRule="auto"/>
              <w:ind w:left="122" w:right="103" w:firstLine="7"/>
            </w:pPr>
            <w:r>
              <w:rPr>
                <w:rFonts w:ascii="Times New Roman" w:hAnsi="Times New Roman" w:eastAsia="Times New Roman" w:cs="Times New Roman"/>
                <w:spacing w:val="7"/>
              </w:rPr>
              <w:t>1.</w:t>
            </w:r>
            <w:r>
              <w:rPr>
                <w:spacing w:val="7"/>
              </w:rPr>
              <w:t>未按检验管理制度实施原辅料、半成品检验现</w:t>
            </w:r>
            <w:r>
              <w:rPr>
                <w:spacing w:val="14"/>
              </w:rPr>
              <w:t xml:space="preserve"> </w:t>
            </w:r>
            <w:r>
              <w:rPr>
                <w:spacing w:val="2"/>
              </w:rPr>
              <w:t>象普遍。</w:t>
            </w:r>
          </w:p>
          <w:p>
            <w:pPr>
              <w:pStyle w:val="6"/>
              <w:spacing w:before="32" w:line="223" w:lineRule="auto"/>
              <w:ind w:left="109"/>
            </w:pPr>
            <w:r>
              <w:rPr>
                <w:rFonts w:ascii="Times New Roman" w:hAnsi="Times New Roman" w:eastAsia="Times New Roman" w:cs="Times New Roman"/>
                <w:spacing w:val="8"/>
              </w:rPr>
              <w:t>2.</w:t>
            </w:r>
            <w:r>
              <w:rPr>
                <w:spacing w:val="8"/>
              </w:rPr>
              <w:t>未按规定实施成品出厂全项目检验。</w:t>
            </w:r>
          </w:p>
          <w:p>
            <w:pPr>
              <w:pStyle w:val="6"/>
              <w:spacing w:before="36" w:line="223" w:lineRule="auto"/>
              <w:ind w:left="113"/>
            </w:pPr>
            <w:r>
              <w:rPr>
                <w:rFonts w:ascii="Times New Roman" w:hAnsi="Times New Roman" w:eastAsia="Times New Roman" w:cs="Times New Roman"/>
                <w:spacing w:val="8"/>
              </w:rPr>
              <w:t>3.</w:t>
            </w:r>
            <w:r>
              <w:rPr>
                <w:spacing w:val="8"/>
              </w:rPr>
              <w:t>产品在出厂检验工作未完成前已出厂销售。</w:t>
            </w:r>
          </w:p>
          <w:p>
            <w:pPr>
              <w:pStyle w:val="6"/>
              <w:spacing w:before="39" w:line="244" w:lineRule="auto"/>
              <w:ind w:left="118" w:right="103" w:hanging="10"/>
            </w:pPr>
            <w:r>
              <w:rPr>
                <w:rFonts w:ascii="Times New Roman" w:hAnsi="Times New Roman" w:eastAsia="Times New Roman" w:cs="Times New Roman"/>
                <w:spacing w:val="8"/>
              </w:rPr>
              <w:t>4.</w:t>
            </w:r>
            <w:r>
              <w:rPr>
                <w:spacing w:val="8"/>
              </w:rPr>
              <w:t>产品批次定义混乱，出厂逐批检验制度无法有</w:t>
            </w:r>
            <w:r>
              <w:rPr>
                <w:spacing w:val="13"/>
              </w:rPr>
              <w:t xml:space="preserve"> </w:t>
            </w:r>
            <w:r>
              <w:rPr>
                <w:spacing w:val="3"/>
              </w:rPr>
              <w:t>效落实。</w:t>
            </w:r>
          </w:p>
          <w:p>
            <w:pPr>
              <w:pStyle w:val="6"/>
              <w:spacing w:before="30" w:line="224" w:lineRule="auto"/>
              <w:ind w:left="115"/>
            </w:pPr>
            <w:r>
              <w:rPr>
                <w:rFonts w:ascii="Times New Roman" w:hAnsi="Times New Roman" w:eastAsia="Times New Roman" w:cs="Times New Roman"/>
                <w:spacing w:val="8"/>
              </w:rPr>
              <w:t>5.</w:t>
            </w:r>
            <w:r>
              <w:rPr>
                <w:spacing w:val="8"/>
              </w:rPr>
              <w:t>其他制度内容或执行严重不足的情形。</w:t>
            </w:r>
          </w:p>
        </w:tc>
        <w:tc>
          <w:tcPr>
            <w:tcW w:w="555"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spacing w:line="304" w:lineRule="auto"/>
              <w:rPr>
                <w:rFonts w:ascii="Arial"/>
                <w:sz w:val="21"/>
              </w:rPr>
            </w:pPr>
          </w:p>
          <w:p>
            <w:pPr>
              <w:spacing w:line="304" w:lineRule="auto"/>
              <w:rPr>
                <w:rFonts w:ascii="Arial"/>
                <w:sz w:val="21"/>
              </w:rPr>
            </w:pPr>
          </w:p>
          <w:p>
            <w:pPr>
              <w:pStyle w:val="6"/>
              <w:spacing w:before="65" w:line="247" w:lineRule="auto"/>
              <w:ind w:left="110" w:right="105" w:hanging="3"/>
              <w:jc w:val="both"/>
            </w:pPr>
            <w:r>
              <w:rPr>
                <w:rFonts w:ascii="Times New Roman" w:hAnsi="Times New Roman" w:eastAsia="Times New Roman" w:cs="Times New Roman"/>
                <w:spacing w:val="10"/>
              </w:rPr>
              <w:t>2.</w:t>
            </w:r>
            <w:r>
              <w:rPr>
                <w:spacing w:val="10"/>
              </w:rPr>
              <w:t>应建立并执行检验方法和检验能力定期比对</w:t>
            </w:r>
            <w:r>
              <w:rPr>
                <w:spacing w:val="12"/>
              </w:rPr>
              <w:t xml:space="preserve"> </w:t>
            </w:r>
            <w:r>
              <w:rPr>
                <w:spacing w:val="8"/>
              </w:rPr>
              <w:t>或者验证要求，确保非标准方法的准确性和检</w:t>
            </w:r>
            <w:r>
              <w:rPr>
                <w:spacing w:val="9"/>
              </w:rPr>
              <w:t xml:space="preserve"> </w:t>
            </w:r>
            <w:r>
              <w:rPr>
                <w:spacing w:val="7"/>
              </w:rPr>
              <w:t>验能力的符合性。</w:t>
            </w:r>
          </w:p>
        </w:tc>
        <w:tc>
          <w:tcPr>
            <w:tcW w:w="4558" w:type="dxa"/>
            <w:vAlign w:val="top"/>
          </w:tcPr>
          <w:p>
            <w:pPr>
              <w:pStyle w:val="6"/>
              <w:spacing w:before="77" w:line="224" w:lineRule="auto"/>
              <w:ind w:left="118"/>
            </w:pPr>
            <w:r>
              <w:rPr>
                <w:spacing w:val="6"/>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7" w:line="224" w:lineRule="auto"/>
              <w:ind w:left="119"/>
            </w:pPr>
            <w:r>
              <w:rPr>
                <w:spacing w:val="7"/>
              </w:rPr>
              <w:t>制度内容或执行略有不足。</w:t>
            </w:r>
          </w:p>
        </w:tc>
        <w:tc>
          <w:tcPr>
            <w:tcW w:w="555" w:type="dxa"/>
            <w:vAlign w:val="top"/>
          </w:tcPr>
          <w:p>
            <w:pPr>
              <w:spacing w:before="112"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46" w:line="243" w:lineRule="auto"/>
              <w:ind w:left="118" w:right="103" w:firstLine="11"/>
            </w:pPr>
            <w:r>
              <w:rPr>
                <w:rFonts w:ascii="Times New Roman" w:hAnsi="Times New Roman" w:eastAsia="Times New Roman" w:cs="Times New Roman"/>
                <w:spacing w:val="7"/>
              </w:rPr>
              <w:t>1.</w:t>
            </w:r>
            <w:r>
              <w:rPr>
                <w:spacing w:val="7"/>
              </w:rPr>
              <w:t>使用未经比对、验证的非国标检验方法开展原</w:t>
            </w:r>
            <w:r>
              <w:rPr>
                <w:spacing w:val="14"/>
              </w:rPr>
              <w:t xml:space="preserve"> </w:t>
            </w:r>
            <w:r>
              <w:rPr>
                <w:spacing w:val="7"/>
              </w:rPr>
              <w:t>辅料验收或成品出厂检验。</w:t>
            </w:r>
          </w:p>
          <w:p>
            <w:pPr>
              <w:pStyle w:val="6"/>
              <w:spacing w:before="34" w:line="241" w:lineRule="auto"/>
              <w:ind w:left="116" w:right="103" w:hanging="7"/>
            </w:pPr>
            <w:r>
              <w:rPr>
                <w:rFonts w:ascii="Times New Roman" w:hAnsi="Times New Roman" w:eastAsia="Times New Roman" w:cs="Times New Roman"/>
                <w:spacing w:val="6"/>
              </w:rPr>
              <w:t xml:space="preserve">2. </w:t>
            </w:r>
            <w:r>
              <w:rPr>
                <w:spacing w:val="6"/>
              </w:rPr>
              <w:t>出厂检验能力严重不足，或未定期开展检验能</w:t>
            </w:r>
            <w:r>
              <w:t xml:space="preserve"> </w:t>
            </w:r>
            <w:r>
              <w:rPr>
                <w:spacing w:val="6"/>
              </w:rPr>
              <w:t>力比对工作。</w:t>
            </w:r>
          </w:p>
          <w:p>
            <w:pPr>
              <w:pStyle w:val="6"/>
              <w:spacing w:before="37" w:line="209" w:lineRule="auto"/>
              <w:ind w:left="113"/>
            </w:pPr>
            <w:r>
              <w:rPr>
                <w:rFonts w:ascii="Times New Roman" w:hAnsi="Times New Roman" w:eastAsia="Times New Roman" w:cs="Times New Roman"/>
                <w:spacing w:val="8"/>
              </w:rPr>
              <w:t>3.</w:t>
            </w:r>
            <w:r>
              <w:rPr>
                <w:spacing w:val="8"/>
              </w:rPr>
              <w:t>其他制度内容或执行严重不足的情形。</w:t>
            </w:r>
          </w:p>
        </w:tc>
        <w:tc>
          <w:tcPr>
            <w:tcW w:w="555" w:type="dxa"/>
            <w:vAlign w:val="top"/>
          </w:tcPr>
          <w:p>
            <w:pPr>
              <w:spacing w:line="291" w:lineRule="auto"/>
              <w:rPr>
                <w:rFonts w:ascii="Arial"/>
                <w:sz w:val="21"/>
              </w:rPr>
            </w:pPr>
          </w:p>
          <w:p>
            <w:pPr>
              <w:spacing w:line="291" w:lineRule="auto"/>
              <w:rPr>
                <w:rFonts w:ascii="Arial"/>
                <w:sz w:val="21"/>
              </w:rPr>
            </w:pPr>
          </w:p>
          <w:p>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line="443" w:lineRule="auto"/>
              <w:rPr>
                <w:rFonts w:ascii="Arial"/>
                <w:sz w:val="21"/>
              </w:rPr>
            </w:pPr>
          </w:p>
          <w:p>
            <w:pPr>
              <w:spacing w:before="58"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735" w:type="dxa"/>
            <w:vMerge w:val="restart"/>
            <w:tcBorders>
              <w:bottom w:val="nil"/>
            </w:tcBorders>
            <w:vAlign w:val="top"/>
          </w:tcPr>
          <w:p>
            <w:pPr>
              <w:pStyle w:val="6"/>
              <w:spacing w:before="48" w:line="227" w:lineRule="auto"/>
              <w:ind w:left="161"/>
            </w:pPr>
            <w:r>
              <w:rPr>
                <w:spacing w:val="4"/>
              </w:rPr>
              <w:t>运输</w:t>
            </w:r>
          </w:p>
          <w:p>
            <w:pPr>
              <w:pStyle w:val="6"/>
              <w:spacing w:before="32" w:line="226" w:lineRule="auto"/>
              <w:ind w:left="165"/>
            </w:pPr>
            <w:r>
              <w:rPr>
                <w:spacing w:val="2"/>
              </w:rPr>
              <w:t>和交</w:t>
            </w:r>
          </w:p>
          <w:p>
            <w:pPr>
              <w:pStyle w:val="6"/>
              <w:spacing w:before="35" w:line="227" w:lineRule="auto"/>
              <w:ind w:left="170"/>
            </w:pPr>
            <w:r>
              <w:rPr>
                <w:spacing w:val="-1"/>
              </w:rPr>
              <w:t>付管</w:t>
            </w:r>
          </w:p>
          <w:p>
            <w:pPr>
              <w:pStyle w:val="6"/>
              <w:spacing w:before="34" w:line="208" w:lineRule="auto"/>
              <w:ind w:left="268"/>
            </w:pPr>
            <w:r>
              <w:t>理</w:t>
            </w:r>
          </w:p>
        </w:tc>
        <w:tc>
          <w:tcPr>
            <w:tcW w:w="4393" w:type="dxa"/>
            <w:vMerge w:val="restart"/>
            <w:tcBorders>
              <w:bottom w:val="nil"/>
            </w:tcBorders>
            <w:vAlign w:val="top"/>
          </w:tcPr>
          <w:p>
            <w:pPr>
              <w:pStyle w:val="6"/>
              <w:spacing w:before="47" w:line="246" w:lineRule="auto"/>
              <w:ind w:left="112" w:right="105" w:firstLine="4"/>
              <w:jc w:val="both"/>
            </w:pPr>
            <w:r>
              <w:rPr>
                <w:spacing w:val="8"/>
              </w:rPr>
              <w:t>应当建立并执行运输和交付管理制度，规定根</w:t>
            </w:r>
            <w:r>
              <w:rPr>
                <w:spacing w:val="4"/>
              </w:rPr>
              <w:t xml:space="preserve"> </w:t>
            </w:r>
            <w:r>
              <w:rPr>
                <w:spacing w:val="8"/>
              </w:rPr>
              <w:t>据产品特点、贮存要求、运输条件选择适宜的 运输方式，并做好交付记录。委托运输的，应 当对受托方的食品安全保障能力进行审核。</w:t>
            </w:r>
          </w:p>
        </w:tc>
        <w:tc>
          <w:tcPr>
            <w:tcW w:w="4558" w:type="dxa"/>
            <w:vAlign w:val="top"/>
          </w:tcPr>
          <w:p>
            <w:pPr>
              <w:pStyle w:val="6"/>
              <w:spacing w:before="77" w:line="224" w:lineRule="auto"/>
              <w:ind w:left="118"/>
            </w:pPr>
            <w:r>
              <w:rPr>
                <w:spacing w:val="6"/>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8" w:line="224" w:lineRule="auto"/>
              <w:ind w:left="119"/>
            </w:pPr>
            <w:r>
              <w:rPr>
                <w:spacing w:val="7"/>
              </w:rPr>
              <w:t>制度内容或执行略有不足。</w:t>
            </w:r>
          </w:p>
        </w:tc>
        <w:tc>
          <w:tcPr>
            <w:tcW w:w="555" w:type="dxa"/>
            <w:vAlign w:val="top"/>
          </w:tcPr>
          <w:p>
            <w:pPr>
              <w:spacing w:before="11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119" w:line="224" w:lineRule="auto"/>
              <w:ind w:left="119"/>
            </w:pPr>
            <w:r>
              <w:rPr>
                <w:spacing w:val="7"/>
              </w:rPr>
              <w:t>制度内容或执行严重不足。</w:t>
            </w:r>
          </w:p>
        </w:tc>
        <w:tc>
          <w:tcPr>
            <w:tcW w:w="555" w:type="dxa"/>
            <w:vAlign w:val="top"/>
          </w:tcPr>
          <w:p>
            <w:pPr>
              <w:spacing w:before="154"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line="448" w:lineRule="auto"/>
              <w:rPr>
                <w:rFonts w:ascii="Arial"/>
                <w:sz w:val="21"/>
              </w:rPr>
            </w:pPr>
          </w:p>
          <w:p>
            <w:pPr>
              <w:spacing w:before="57" w:line="192"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735" w:type="dxa"/>
            <w:vMerge w:val="restart"/>
            <w:tcBorders>
              <w:bottom w:val="nil"/>
            </w:tcBorders>
            <w:vAlign w:val="top"/>
          </w:tcPr>
          <w:p>
            <w:pPr>
              <w:pStyle w:val="6"/>
              <w:spacing w:before="52" w:line="245" w:lineRule="auto"/>
              <w:ind w:left="161" w:right="160" w:firstLine="2"/>
              <w:jc w:val="both"/>
            </w:pPr>
            <w:r>
              <w:rPr>
                <w:spacing w:val="3"/>
              </w:rPr>
              <w:t>食品</w:t>
            </w:r>
            <w:r>
              <w:t xml:space="preserve"> </w:t>
            </w:r>
            <w:r>
              <w:rPr>
                <w:spacing w:val="4"/>
              </w:rPr>
              <w:t>安全</w:t>
            </w:r>
            <w:r>
              <w:t xml:space="preserve"> </w:t>
            </w:r>
            <w:r>
              <w:rPr>
                <w:spacing w:val="4"/>
              </w:rPr>
              <w:t>追溯</w:t>
            </w:r>
            <w:r>
              <w:t xml:space="preserve"> </w:t>
            </w:r>
            <w:r>
              <w:rPr>
                <w:spacing w:val="4"/>
              </w:rPr>
              <w:t>管理</w:t>
            </w:r>
          </w:p>
        </w:tc>
        <w:tc>
          <w:tcPr>
            <w:tcW w:w="4393" w:type="dxa"/>
            <w:vMerge w:val="restart"/>
            <w:tcBorders>
              <w:bottom w:val="nil"/>
            </w:tcBorders>
            <w:vAlign w:val="top"/>
          </w:tcPr>
          <w:p>
            <w:pPr>
              <w:pStyle w:val="6"/>
              <w:spacing w:before="189" w:line="248" w:lineRule="auto"/>
              <w:ind w:left="111" w:right="105" w:firstLine="5"/>
              <w:jc w:val="both"/>
            </w:pPr>
            <w:r>
              <w:rPr>
                <w:spacing w:val="8"/>
              </w:rPr>
              <w:t>应当建立并执行食品安全追溯管理体系，记录</w:t>
            </w:r>
            <w:r>
              <w:rPr>
                <w:spacing w:val="2"/>
              </w:rPr>
              <w:t xml:space="preserve"> </w:t>
            </w:r>
            <w:r>
              <w:rPr>
                <w:spacing w:val="8"/>
              </w:rPr>
              <w:t>并保存法律、法规及标准等规定的信息，保证</w:t>
            </w:r>
            <w:r>
              <w:rPr>
                <w:spacing w:val="9"/>
              </w:rPr>
              <w:t xml:space="preserve"> </w:t>
            </w:r>
            <w:r>
              <w:rPr>
                <w:spacing w:val="6"/>
              </w:rPr>
              <w:t>产品可追溯。</w:t>
            </w:r>
          </w:p>
        </w:tc>
        <w:tc>
          <w:tcPr>
            <w:tcW w:w="4558" w:type="dxa"/>
            <w:vAlign w:val="top"/>
          </w:tcPr>
          <w:p>
            <w:pPr>
              <w:pStyle w:val="6"/>
              <w:spacing w:before="79" w:line="224" w:lineRule="auto"/>
              <w:ind w:left="118"/>
            </w:pPr>
            <w:r>
              <w:rPr>
                <w:spacing w:val="6"/>
              </w:rPr>
              <w:t>符合规定要求。</w:t>
            </w:r>
          </w:p>
        </w:tc>
        <w:tc>
          <w:tcPr>
            <w:tcW w:w="555" w:type="dxa"/>
            <w:vAlign w:val="top"/>
          </w:tcPr>
          <w:p>
            <w:pPr>
              <w:spacing w:before="11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9" w:line="224" w:lineRule="auto"/>
              <w:ind w:left="113"/>
            </w:pPr>
            <w:r>
              <w:rPr>
                <w:spacing w:val="8"/>
              </w:rPr>
              <w:t>管理体系或执行略有不足。</w:t>
            </w:r>
          </w:p>
        </w:tc>
        <w:tc>
          <w:tcPr>
            <w:tcW w:w="555" w:type="dxa"/>
            <w:vAlign w:val="top"/>
          </w:tcPr>
          <w:p>
            <w:pPr>
              <w:spacing w:before="11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118" w:line="224" w:lineRule="auto"/>
              <w:ind w:left="119"/>
            </w:pPr>
            <w:r>
              <w:rPr>
                <w:spacing w:val="7"/>
              </w:rPr>
              <w:t>制度内容或执行严重不足。</w:t>
            </w:r>
          </w:p>
        </w:tc>
        <w:tc>
          <w:tcPr>
            <w:tcW w:w="555" w:type="dxa"/>
            <w:vAlign w:val="top"/>
          </w:tcPr>
          <w:p>
            <w:pPr>
              <w:spacing w:before="153"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19" w:type="dxa"/>
            <w:vMerge w:val="restart"/>
            <w:tcBorders>
              <w:bottom w:val="nil"/>
            </w:tcBorders>
            <w:vAlign w:val="top"/>
          </w:tcPr>
          <w:p>
            <w:pPr>
              <w:spacing w:line="444"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735" w:type="dxa"/>
            <w:vMerge w:val="restart"/>
            <w:tcBorders>
              <w:bottom w:val="nil"/>
            </w:tcBorders>
            <w:vAlign w:val="top"/>
          </w:tcPr>
          <w:p>
            <w:pPr>
              <w:pStyle w:val="6"/>
              <w:spacing w:before="189" w:line="249" w:lineRule="auto"/>
              <w:ind w:left="164" w:right="160" w:hanging="1"/>
              <w:jc w:val="both"/>
            </w:pPr>
            <w:r>
              <w:rPr>
                <w:spacing w:val="3"/>
              </w:rPr>
              <w:t>食品</w:t>
            </w:r>
            <w:r>
              <w:t xml:space="preserve"> </w:t>
            </w:r>
            <w:r>
              <w:rPr>
                <w:spacing w:val="2"/>
              </w:rPr>
              <w:t>安全</w:t>
            </w:r>
            <w:r>
              <w:t xml:space="preserve"> </w:t>
            </w:r>
            <w:r>
              <w:rPr>
                <w:spacing w:val="2"/>
              </w:rPr>
              <w:t>自查</w:t>
            </w:r>
          </w:p>
        </w:tc>
        <w:tc>
          <w:tcPr>
            <w:tcW w:w="4393" w:type="dxa"/>
            <w:vMerge w:val="restart"/>
            <w:tcBorders>
              <w:bottom w:val="nil"/>
            </w:tcBorders>
            <w:vAlign w:val="top"/>
          </w:tcPr>
          <w:p>
            <w:pPr>
              <w:pStyle w:val="6"/>
              <w:spacing w:before="50" w:line="246" w:lineRule="auto"/>
              <w:ind w:left="110" w:right="105" w:firstLine="5"/>
              <w:jc w:val="both"/>
            </w:pPr>
            <w:r>
              <w:rPr>
                <w:spacing w:val="8"/>
              </w:rPr>
              <w:t>应当建立并执行食品安全自查制度，规定对食</w:t>
            </w:r>
            <w:r>
              <w:rPr>
                <w:spacing w:val="1"/>
              </w:rPr>
              <w:t xml:space="preserve"> </w:t>
            </w:r>
            <w:r>
              <w:rPr>
                <w:spacing w:val="8"/>
              </w:rPr>
              <w:t>品添加剂安全状况定期进行检查评价，并根据</w:t>
            </w:r>
            <w:r>
              <w:rPr>
                <w:spacing w:val="10"/>
              </w:rPr>
              <w:t xml:space="preserve"> </w:t>
            </w:r>
            <w:r>
              <w:rPr>
                <w:spacing w:val="8"/>
              </w:rPr>
              <w:t>评价结果采取相应的处理措施。有发生食品安</w:t>
            </w:r>
            <w:r>
              <w:rPr>
                <w:spacing w:val="7"/>
              </w:rPr>
              <w:t xml:space="preserve"> </w:t>
            </w:r>
            <w:r>
              <w:rPr>
                <w:spacing w:val="8"/>
              </w:rPr>
              <w:t>全事故潜在风险的，应当立即停止食品添加剂</w:t>
            </w:r>
          </w:p>
        </w:tc>
        <w:tc>
          <w:tcPr>
            <w:tcW w:w="4558" w:type="dxa"/>
            <w:vAlign w:val="top"/>
          </w:tcPr>
          <w:p>
            <w:pPr>
              <w:pStyle w:val="6"/>
              <w:spacing w:before="73" w:line="224" w:lineRule="auto"/>
              <w:ind w:left="118"/>
            </w:pPr>
            <w:r>
              <w:rPr>
                <w:spacing w:val="6"/>
              </w:rPr>
              <w:t>符合规定要求。</w:t>
            </w:r>
          </w:p>
        </w:tc>
        <w:tc>
          <w:tcPr>
            <w:tcW w:w="555" w:type="dxa"/>
            <w:vAlign w:val="top"/>
          </w:tcPr>
          <w:p>
            <w:pPr>
              <w:spacing w:before="108"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9" w:line="224" w:lineRule="auto"/>
              <w:ind w:left="119"/>
            </w:pPr>
            <w:r>
              <w:rPr>
                <w:spacing w:val="7"/>
              </w:rPr>
              <w:t>制度内容或执行略有不足。</w:t>
            </w:r>
          </w:p>
        </w:tc>
        <w:tc>
          <w:tcPr>
            <w:tcW w:w="555" w:type="dxa"/>
            <w:vAlign w:val="top"/>
          </w:tcPr>
          <w:p>
            <w:pPr>
              <w:spacing w:before="11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127" w:line="224" w:lineRule="auto"/>
              <w:ind w:left="119"/>
            </w:pPr>
            <w:r>
              <w:rPr>
                <w:spacing w:val="7"/>
              </w:rPr>
              <w:t>制度内容或执行严重不足。</w:t>
            </w:r>
          </w:p>
        </w:tc>
        <w:tc>
          <w:tcPr>
            <w:tcW w:w="555" w:type="dxa"/>
            <w:vAlign w:val="top"/>
          </w:tcPr>
          <w:p>
            <w:pPr>
              <w:spacing w:before="162"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8" w:type="default"/>
          <w:pgSz w:w="15840" w:h="12240"/>
          <w:pgMar w:top="1040" w:right="1337" w:bottom="895" w:left="1278" w:header="0" w:footer="724" w:gutter="0"/>
          <w:cols w:space="720" w:num="1"/>
        </w:sectPr>
      </w:pPr>
    </w:p>
    <w:p>
      <w:pPr>
        <w:spacing w:before="12"/>
      </w:pPr>
    </w:p>
    <w:p>
      <w:pPr>
        <w:spacing w:before="12"/>
      </w:pPr>
    </w:p>
    <w:p>
      <w:pPr>
        <w:spacing w:before="11"/>
      </w:pPr>
    </w:p>
    <w:tbl>
      <w:tblPr>
        <w:tblStyle w:val="5"/>
        <w:tblW w:w="13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35"/>
        <w:gridCol w:w="4393"/>
        <w:gridCol w:w="4558"/>
        <w:gridCol w:w="555"/>
        <w:gridCol w:w="1114"/>
        <w:gridCol w:w="1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19" w:type="dxa"/>
            <w:vAlign w:val="top"/>
          </w:tcPr>
          <w:p>
            <w:pPr>
              <w:rPr>
                <w:rFonts w:ascii="Arial"/>
                <w:sz w:val="21"/>
              </w:rPr>
            </w:pPr>
          </w:p>
        </w:tc>
        <w:tc>
          <w:tcPr>
            <w:tcW w:w="735" w:type="dxa"/>
            <w:vAlign w:val="top"/>
          </w:tcPr>
          <w:p>
            <w:pPr>
              <w:rPr>
                <w:rFonts w:ascii="Arial"/>
                <w:sz w:val="21"/>
              </w:rPr>
            </w:pPr>
          </w:p>
        </w:tc>
        <w:tc>
          <w:tcPr>
            <w:tcW w:w="4393" w:type="dxa"/>
            <w:vAlign w:val="top"/>
          </w:tcPr>
          <w:p>
            <w:pPr>
              <w:pStyle w:val="6"/>
              <w:spacing w:before="49" w:line="235" w:lineRule="auto"/>
              <w:ind w:left="118" w:right="105" w:firstLine="6"/>
            </w:pPr>
            <w:r>
              <w:rPr>
                <w:spacing w:val="7"/>
              </w:rPr>
              <w:t>生产活动，并向所在地县级市场监督管理部门</w:t>
            </w:r>
            <w:r>
              <w:rPr>
                <w:spacing w:val="16"/>
              </w:rPr>
              <w:t xml:space="preserve"> </w:t>
            </w:r>
            <w:r>
              <w:rPr>
                <w:spacing w:val="1"/>
              </w:rPr>
              <w:t>报告。</w:t>
            </w:r>
          </w:p>
        </w:tc>
        <w:tc>
          <w:tcPr>
            <w:tcW w:w="4558" w:type="dxa"/>
            <w:vAlign w:val="top"/>
          </w:tcPr>
          <w:p>
            <w:pPr>
              <w:rPr>
                <w:rFonts w:ascii="Arial"/>
                <w:sz w:val="21"/>
              </w:rPr>
            </w:pPr>
          </w:p>
        </w:tc>
        <w:tc>
          <w:tcPr>
            <w:tcW w:w="555" w:type="dxa"/>
            <w:vAlign w:val="top"/>
          </w:tcPr>
          <w:p>
            <w:pPr>
              <w:rPr>
                <w:rFonts w:ascii="Arial"/>
                <w:sz w:val="21"/>
              </w:rPr>
            </w:pP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57" w:line="192"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735" w:type="dxa"/>
            <w:vMerge w:val="restart"/>
            <w:tcBorders>
              <w:bottom w:val="nil"/>
            </w:tcBorders>
            <w:vAlign w:val="top"/>
          </w:tcPr>
          <w:p>
            <w:pPr>
              <w:pStyle w:val="6"/>
              <w:spacing w:before="50" w:line="251" w:lineRule="auto"/>
              <w:ind w:left="157" w:right="160" w:firstLine="6"/>
              <w:jc w:val="both"/>
            </w:pPr>
            <w:r>
              <w:rPr>
                <w:spacing w:val="2"/>
              </w:rPr>
              <w:t>不合</w:t>
            </w:r>
            <w:r>
              <w:t xml:space="preserve"> </w:t>
            </w:r>
            <w:r>
              <w:rPr>
                <w:spacing w:val="6"/>
              </w:rPr>
              <w:t>格品</w:t>
            </w:r>
            <w:r>
              <w:t xml:space="preserve"> </w:t>
            </w:r>
            <w:r>
              <w:rPr>
                <w:spacing w:val="6"/>
              </w:rPr>
              <w:t>管理</w:t>
            </w:r>
            <w:r>
              <w:t xml:space="preserve"> </w:t>
            </w:r>
            <w:r>
              <w:rPr>
                <w:spacing w:val="6"/>
              </w:rPr>
              <w:t>及不</w:t>
            </w:r>
            <w:r>
              <w:t xml:space="preserve"> </w:t>
            </w:r>
            <w:r>
              <w:rPr>
                <w:spacing w:val="6"/>
              </w:rPr>
              <w:t>安全</w:t>
            </w:r>
            <w:r>
              <w:t xml:space="preserve"> </w:t>
            </w:r>
            <w:r>
              <w:rPr>
                <w:spacing w:val="6"/>
              </w:rPr>
              <w:t>食品</w:t>
            </w:r>
            <w:r>
              <w:t xml:space="preserve"> </w:t>
            </w:r>
            <w:r>
              <w:rPr>
                <w:spacing w:val="6"/>
              </w:rPr>
              <w:t>召回</w:t>
            </w:r>
          </w:p>
        </w:tc>
        <w:tc>
          <w:tcPr>
            <w:tcW w:w="4393" w:type="dxa"/>
            <w:vMerge w:val="restart"/>
            <w:tcBorders>
              <w:bottom w:val="nil"/>
            </w:tcBorders>
            <w:vAlign w:val="top"/>
          </w:tcPr>
          <w:p>
            <w:pPr>
              <w:pStyle w:val="6"/>
              <w:spacing w:before="47" w:line="248" w:lineRule="auto"/>
              <w:ind w:left="115" w:right="105" w:firstLine="1"/>
              <w:jc w:val="both"/>
            </w:pPr>
            <w:r>
              <w:rPr>
                <w:spacing w:val="19"/>
              </w:rPr>
              <w:t>应当建立并执行不合格品管理制度，规定原</w:t>
            </w:r>
            <w:r>
              <w:rPr>
                <w:spacing w:val="3"/>
              </w:rPr>
              <w:t xml:space="preserve"> </w:t>
            </w:r>
            <w:r>
              <w:rPr>
                <w:spacing w:val="8"/>
              </w:rPr>
              <w:t>料、半成品、成品及食品相关产品中不合格品</w:t>
            </w:r>
            <w:r>
              <w:rPr>
                <w:spacing w:val="5"/>
              </w:rPr>
              <w:t xml:space="preserve"> </w:t>
            </w:r>
            <w:r>
              <w:rPr>
                <w:spacing w:val="7"/>
              </w:rPr>
              <w:t>的管理要求和处置措施。</w:t>
            </w:r>
          </w:p>
          <w:p>
            <w:pPr>
              <w:pStyle w:val="6"/>
              <w:spacing w:before="34" w:line="246" w:lineRule="auto"/>
              <w:ind w:left="113" w:right="105" w:firstLine="3"/>
              <w:jc w:val="both"/>
            </w:pPr>
            <w:r>
              <w:rPr>
                <w:spacing w:val="8"/>
              </w:rPr>
              <w:t>应当建立并执行不安全食品召回制度，规定停</w:t>
            </w:r>
            <w:r>
              <w:rPr>
                <w:spacing w:val="4"/>
              </w:rPr>
              <w:t xml:space="preserve"> </w:t>
            </w:r>
            <w:r>
              <w:rPr>
                <w:spacing w:val="19"/>
              </w:rPr>
              <w:t>止生产及销售、通知相关生产经营者和消费</w:t>
            </w:r>
            <w:r>
              <w:rPr>
                <w:spacing w:val="6"/>
              </w:rPr>
              <w:t xml:space="preserve"> </w:t>
            </w:r>
            <w:r>
              <w:rPr>
                <w:spacing w:val="19"/>
              </w:rPr>
              <w:t>者、召回和处置不安全食品添加剂的相关要</w:t>
            </w:r>
            <w:r>
              <w:rPr>
                <w:spacing w:val="6"/>
              </w:rPr>
              <w:t xml:space="preserve"> </w:t>
            </w:r>
            <w:r>
              <w:rPr>
                <w:spacing w:val="8"/>
              </w:rPr>
              <w:t>求，记录召回和通知情况。</w:t>
            </w:r>
          </w:p>
        </w:tc>
        <w:tc>
          <w:tcPr>
            <w:tcW w:w="4558" w:type="dxa"/>
            <w:vAlign w:val="top"/>
          </w:tcPr>
          <w:p>
            <w:pPr>
              <w:pStyle w:val="6"/>
              <w:spacing w:before="76" w:line="224" w:lineRule="auto"/>
              <w:ind w:left="118"/>
            </w:pPr>
            <w:r>
              <w:rPr>
                <w:spacing w:val="6"/>
              </w:rPr>
              <w:t>符合规定要求。</w:t>
            </w:r>
          </w:p>
        </w:tc>
        <w:tc>
          <w:tcPr>
            <w:tcW w:w="555" w:type="dxa"/>
            <w:vAlign w:val="top"/>
          </w:tcPr>
          <w:p>
            <w:pPr>
              <w:spacing w:before="11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6" w:line="224" w:lineRule="auto"/>
              <w:ind w:left="119"/>
            </w:pPr>
            <w:r>
              <w:rPr>
                <w:spacing w:val="7"/>
              </w:rPr>
              <w:t>制度内容或执行略有不足。</w:t>
            </w:r>
          </w:p>
        </w:tc>
        <w:tc>
          <w:tcPr>
            <w:tcW w:w="555" w:type="dxa"/>
            <w:vAlign w:val="top"/>
          </w:tcPr>
          <w:p>
            <w:pPr>
              <w:spacing w:before="111"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spacing w:line="467" w:lineRule="auto"/>
              <w:rPr>
                <w:rFonts w:ascii="Arial"/>
                <w:sz w:val="21"/>
              </w:rPr>
            </w:pPr>
          </w:p>
          <w:p>
            <w:pPr>
              <w:pStyle w:val="6"/>
              <w:spacing w:before="65" w:line="224" w:lineRule="auto"/>
              <w:ind w:left="119"/>
            </w:pPr>
            <w:r>
              <w:rPr>
                <w:spacing w:val="7"/>
              </w:rPr>
              <w:t>制度内容或执行严重不足。</w:t>
            </w:r>
          </w:p>
        </w:tc>
        <w:tc>
          <w:tcPr>
            <w:tcW w:w="555" w:type="dxa"/>
            <w:vAlign w:val="top"/>
          </w:tcPr>
          <w:p>
            <w:pPr>
              <w:spacing w:line="254" w:lineRule="auto"/>
              <w:rPr>
                <w:rFonts w:ascii="Arial"/>
                <w:sz w:val="21"/>
              </w:rPr>
            </w:pPr>
          </w:p>
          <w:p>
            <w:pPr>
              <w:spacing w:line="255"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8"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p>
        </w:tc>
        <w:tc>
          <w:tcPr>
            <w:tcW w:w="73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55" w:lineRule="auto"/>
              <w:ind w:left="111" w:right="208" w:firstLine="4"/>
            </w:pPr>
            <w:r>
              <w:rPr>
                <w:spacing w:val="3"/>
              </w:rPr>
              <w:t>食品</w:t>
            </w:r>
            <w:r>
              <w:t xml:space="preserve"> </w:t>
            </w:r>
            <w:r>
              <w:rPr>
                <w:spacing w:val="5"/>
              </w:rPr>
              <w:t>添加</w:t>
            </w:r>
            <w:r>
              <w:t xml:space="preserve"> </w:t>
            </w:r>
            <w:r>
              <w:rPr>
                <w:spacing w:val="5"/>
              </w:rPr>
              <w:t>剂标</w:t>
            </w:r>
            <w:r>
              <w:t xml:space="preserve"> </w:t>
            </w:r>
            <w:r>
              <w:rPr>
                <w:spacing w:val="5"/>
              </w:rPr>
              <w:t>签、</w:t>
            </w:r>
            <w:r>
              <w:t xml:space="preserve"> </w:t>
            </w:r>
            <w:r>
              <w:rPr>
                <w:spacing w:val="5"/>
              </w:rPr>
              <w:t>说明</w:t>
            </w:r>
            <w:r>
              <w:t xml:space="preserve"> </w:t>
            </w:r>
            <w:r>
              <w:rPr>
                <w:spacing w:val="5"/>
              </w:rPr>
              <w:t>书管</w:t>
            </w:r>
            <w:r>
              <w:t xml:space="preserve"> </w:t>
            </w:r>
            <w:r>
              <w:rPr>
                <w:spacing w:val="5"/>
              </w:rPr>
              <w:t>理制</w:t>
            </w:r>
            <w:r>
              <w:t xml:space="preserve"> </w:t>
            </w:r>
            <w:r>
              <w:rPr>
                <w:spacing w:val="1"/>
              </w:rPr>
              <w:t>度</w:t>
            </w:r>
          </w:p>
        </w:tc>
        <w:tc>
          <w:tcPr>
            <w:tcW w:w="4393"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44" w:lineRule="auto"/>
              <w:ind w:left="110" w:right="108" w:firstLine="6"/>
            </w:pPr>
            <w:r>
              <w:rPr>
                <w:spacing w:val="8"/>
              </w:rPr>
              <w:t>应当建立并执行标签和说明书管理制度，确保</w:t>
            </w:r>
            <w:r>
              <w:rPr>
                <w:spacing w:val="2"/>
              </w:rPr>
              <w:t xml:space="preserve"> </w:t>
            </w:r>
            <w:r>
              <w:rPr>
                <w:spacing w:val="8"/>
              </w:rPr>
              <w:t>标签和说明书事项完整、真实。</w:t>
            </w:r>
          </w:p>
        </w:tc>
        <w:tc>
          <w:tcPr>
            <w:tcW w:w="4558" w:type="dxa"/>
            <w:vAlign w:val="top"/>
          </w:tcPr>
          <w:p>
            <w:pPr>
              <w:pStyle w:val="6"/>
              <w:spacing w:before="77" w:line="224" w:lineRule="auto"/>
              <w:ind w:left="118"/>
            </w:pPr>
            <w:r>
              <w:rPr>
                <w:spacing w:val="6"/>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46" w:line="224" w:lineRule="auto"/>
              <w:ind w:left="129"/>
            </w:pPr>
            <w:r>
              <w:rPr>
                <w:rFonts w:ascii="Times New Roman" w:hAnsi="Times New Roman" w:eastAsia="Times New Roman" w:cs="Times New Roman"/>
                <w:spacing w:val="6"/>
              </w:rPr>
              <w:t>1.</w:t>
            </w:r>
            <w:r>
              <w:rPr>
                <w:spacing w:val="6"/>
              </w:rPr>
              <w:t>食品添加剂名称命名不规范。</w:t>
            </w:r>
          </w:p>
          <w:p>
            <w:pPr>
              <w:pStyle w:val="6"/>
              <w:spacing w:before="38" w:line="244" w:lineRule="auto"/>
              <w:ind w:left="121" w:right="101" w:hanging="12"/>
            </w:pPr>
            <w:r>
              <w:rPr>
                <w:rFonts w:ascii="Times New Roman" w:hAnsi="Times New Roman" w:eastAsia="Times New Roman" w:cs="Times New Roman"/>
                <w:spacing w:val="7"/>
              </w:rPr>
              <w:t>2.“</w:t>
            </w:r>
            <w:r>
              <w:rPr>
                <w:spacing w:val="7"/>
              </w:rPr>
              <w:t>使用范围</w:t>
            </w:r>
            <w:r>
              <w:rPr>
                <w:rFonts w:ascii="Times New Roman" w:hAnsi="Times New Roman" w:eastAsia="Times New Roman" w:cs="Times New Roman"/>
                <w:spacing w:val="7"/>
              </w:rPr>
              <w:t>”</w:t>
            </w:r>
            <w:r>
              <w:rPr>
                <w:spacing w:val="7"/>
              </w:rPr>
              <w:t>未按</w:t>
            </w:r>
            <w:r>
              <w:rPr>
                <w:spacing w:val="-18"/>
              </w:rPr>
              <w:t xml:space="preserve"> </w:t>
            </w:r>
            <w:r>
              <w:rPr>
                <w:rFonts w:ascii="Times New Roman" w:hAnsi="Times New Roman" w:eastAsia="Times New Roman" w:cs="Times New Roman"/>
              </w:rPr>
              <w:t>GB</w:t>
            </w:r>
            <w:r>
              <w:rPr>
                <w:rFonts w:ascii="Times New Roman" w:hAnsi="Times New Roman" w:eastAsia="Times New Roman" w:cs="Times New Roman"/>
                <w:spacing w:val="7"/>
              </w:rPr>
              <w:t>2760</w:t>
            </w:r>
            <w:r>
              <w:rPr>
                <w:rFonts w:ascii="Times New Roman" w:hAnsi="Times New Roman" w:eastAsia="Times New Roman" w:cs="Times New Roman"/>
                <w:spacing w:val="-16"/>
              </w:rPr>
              <w:t xml:space="preserve"> </w:t>
            </w:r>
            <w:r>
              <w:rPr>
                <w:spacing w:val="7"/>
              </w:rPr>
              <w:t>、</w:t>
            </w:r>
            <w:r>
              <w:rPr>
                <w:rFonts w:ascii="Times New Roman" w:hAnsi="Times New Roman" w:eastAsia="Times New Roman" w:cs="Times New Roman"/>
              </w:rPr>
              <w:t>GB</w:t>
            </w:r>
            <w:r>
              <w:rPr>
                <w:rFonts w:ascii="Times New Roman" w:hAnsi="Times New Roman" w:eastAsia="Times New Roman" w:cs="Times New Roman"/>
                <w:spacing w:val="7"/>
              </w:rPr>
              <w:t>14880</w:t>
            </w:r>
            <w:r>
              <w:rPr>
                <w:rFonts w:ascii="Times New Roman" w:hAnsi="Times New Roman" w:eastAsia="Times New Roman" w:cs="Times New Roman"/>
                <w:spacing w:val="24"/>
              </w:rPr>
              <w:t xml:space="preserve"> </w:t>
            </w:r>
            <w:r>
              <w:rPr>
                <w:spacing w:val="7"/>
              </w:rPr>
              <w:t>规定标示</w:t>
            </w:r>
            <w:r>
              <w:t xml:space="preserve"> </w:t>
            </w:r>
            <w:r>
              <w:rPr>
                <w:spacing w:val="7"/>
              </w:rPr>
              <w:t>到具体食品类别或细类。</w:t>
            </w:r>
          </w:p>
          <w:p>
            <w:pPr>
              <w:pStyle w:val="6"/>
              <w:spacing w:before="29" w:line="250" w:lineRule="auto"/>
              <w:ind w:left="116" w:right="103" w:hanging="3"/>
              <w:jc w:val="both"/>
            </w:pPr>
            <w:r>
              <w:rPr>
                <w:rFonts w:ascii="Times New Roman" w:hAnsi="Times New Roman" w:eastAsia="Times New Roman" w:cs="Times New Roman"/>
                <w:spacing w:val="17"/>
              </w:rPr>
              <w:t>3.</w:t>
            </w:r>
            <w:r>
              <w:rPr>
                <w:rFonts w:ascii="Times New Roman" w:hAnsi="Times New Roman" w:eastAsia="Times New Roman" w:cs="Times New Roman"/>
                <w:spacing w:val="-23"/>
              </w:rPr>
              <w:t xml:space="preserve"> </w:t>
            </w:r>
            <w:r>
              <w:rPr>
                <w:spacing w:val="17"/>
              </w:rPr>
              <w:t>未准确标示所执行的食品安全国家标准的标</w:t>
            </w:r>
            <w:r>
              <w:t xml:space="preserve"> </w:t>
            </w:r>
            <w:r>
              <w:rPr>
                <w:spacing w:val="6"/>
              </w:rPr>
              <w:t>准代号和顺序号、国务院卫生行政部门相关公告</w:t>
            </w:r>
            <w:r>
              <w:rPr>
                <w:spacing w:val="4"/>
              </w:rPr>
              <w:t xml:space="preserve"> </w:t>
            </w:r>
            <w:r>
              <w:rPr>
                <w:spacing w:val="1"/>
              </w:rPr>
              <w:t>字号。</w:t>
            </w:r>
          </w:p>
          <w:p>
            <w:pPr>
              <w:pStyle w:val="6"/>
              <w:spacing w:before="29" w:line="234" w:lineRule="auto"/>
              <w:ind w:left="111" w:right="103" w:hanging="3"/>
            </w:pPr>
            <w:r>
              <w:rPr>
                <w:rFonts w:ascii="Times New Roman" w:hAnsi="Times New Roman" w:eastAsia="Times New Roman" w:cs="Times New Roman"/>
                <w:spacing w:val="13"/>
              </w:rPr>
              <w:t>4.</w:t>
            </w:r>
            <w:r>
              <w:rPr>
                <w:spacing w:val="13"/>
              </w:rPr>
              <w:t>其他不符合《食品安全国家标准 食品添加剂</w:t>
            </w:r>
            <w:r>
              <w:rPr>
                <w:spacing w:val="3"/>
              </w:rPr>
              <w:t xml:space="preserve"> </w:t>
            </w:r>
            <w:r>
              <w:rPr>
                <w:spacing w:val="7"/>
              </w:rPr>
              <w:t>标识通则》（</w:t>
            </w:r>
            <w:r>
              <w:rPr>
                <w:rFonts w:ascii="Times New Roman" w:hAnsi="Times New Roman" w:eastAsia="Times New Roman" w:cs="Times New Roman"/>
              </w:rPr>
              <w:t>GB</w:t>
            </w:r>
            <w:r>
              <w:rPr>
                <w:rFonts w:ascii="Times New Roman" w:hAnsi="Times New Roman" w:eastAsia="Times New Roman" w:cs="Times New Roman"/>
                <w:spacing w:val="7"/>
              </w:rPr>
              <w:t xml:space="preserve"> 29924</w:t>
            </w:r>
            <w:r>
              <w:rPr>
                <w:spacing w:val="7"/>
              </w:rPr>
              <w:t>）规定的。</w:t>
            </w:r>
          </w:p>
        </w:tc>
        <w:tc>
          <w:tcPr>
            <w:tcW w:w="5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8"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50" w:line="248" w:lineRule="auto"/>
              <w:ind w:left="113" w:right="106" w:firstLine="16"/>
            </w:pPr>
            <w:r>
              <w:rPr>
                <w:rFonts w:ascii="Times New Roman" w:hAnsi="Times New Roman" w:eastAsia="Times New Roman" w:cs="Times New Roman"/>
                <w:spacing w:val="7"/>
              </w:rPr>
              <w:t>1.</w:t>
            </w:r>
            <w:r>
              <w:rPr>
                <w:spacing w:val="7"/>
              </w:rPr>
              <w:t>食品添加剂使用量标示单位与净含量不一致、</w:t>
            </w:r>
            <w:r>
              <w:rPr>
                <w:spacing w:val="12"/>
              </w:rPr>
              <w:t xml:space="preserve"> </w:t>
            </w:r>
            <w:r>
              <w:rPr>
                <w:spacing w:val="16"/>
              </w:rPr>
              <w:t>数值高于食品安全国家标准规定使用的最大使</w:t>
            </w:r>
            <w:r>
              <w:rPr>
                <w:spacing w:val="12"/>
              </w:rPr>
              <w:t xml:space="preserve"> </w:t>
            </w:r>
            <w:r>
              <w:rPr>
                <w:spacing w:val="3"/>
              </w:rPr>
              <w:t>用量。</w:t>
            </w:r>
          </w:p>
          <w:p>
            <w:pPr>
              <w:pStyle w:val="6"/>
              <w:spacing w:before="32" w:line="247" w:lineRule="auto"/>
              <w:ind w:left="112" w:right="103" w:hanging="3"/>
            </w:pPr>
            <w:r>
              <w:rPr>
                <w:rFonts w:ascii="Times New Roman" w:hAnsi="Times New Roman" w:eastAsia="Times New Roman" w:cs="Times New Roman"/>
                <w:spacing w:val="6"/>
              </w:rPr>
              <w:t>2.</w:t>
            </w:r>
            <w:r>
              <w:rPr>
                <w:spacing w:val="6"/>
              </w:rPr>
              <w:t>使用范围超出</w:t>
            </w:r>
            <w:r>
              <w:rPr>
                <w:spacing w:val="-20"/>
              </w:rPr>
              <w:t xml:space="preserve"> </w:t>
            </w:r>
            <w:r>
              <w:rPr>
                <w:rFonts w:ascii="Times New Roman" w:hAnsi="Times New Roman" w:eastAsia="Times New Roman" w:cs="Times New Roman"/>
              </w:rPr>
              <w:t>GB</w:t>
            </w:r>
            <w:r>
              <w:rPr>
                <w:rFonts w:ascii="Times New Roman" w:hAnsi="Times New Roman" w:eastAsia="Times New Roman" w:cs="Times New Roman"/>
                <w:spacing w:val="6"/>
              </w:rPr>
              <w:t>2760</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14880</w:t>
            </w:r>
            <w:r>
              <w:rPr>
                <w:rFonts w:ascii="Times New Roman" w:hAnsi="Times New Roman" w:eastAsia="Times New Roman" w:cs="Times New Roman"/>
                <w:spacing w:val="19"/>
              </w:rPr>
              <w:t xml:space="preserve"> </w:t>
            </w:r>
            <w:r>
              <w:rPr>
                <w:spacing w:val="6"/>
              </w:rPr>
              <w:t>规定范围。</w:t>
            </w:r>
            <w:r>
              <w:t xml:space="preserve"> </w:t>
            </w:r>
            <w:r>
              <w:rPr>
                <w:rFonts w:ascii="Times New Roman" w:hAnsi="Times New Roman" w:eastAsia="Times New Roman" w:cs="Times New Roman"/>
                <w:spacing w:val="9"/>
              </w:rPr>
              <w:t>3.</w:t>
            </w:r>
            <w:r>
              <w:rPr>
                <w:spacing w:val="9"/>
              </w:rPr>
              <w:t>未清晰标示</w:t>
            </w:r>
            <w:r>
              <w:rPr>
                <w:rFonts w:ascii="Times New Roman" w:hAnsi="Times New Roman" w:eastAsia="Times New Roman" w:cs="Times New Roman"/>
                <w:spacing w:val="9"/>
              </w:rPr>
              <w:t>“</w:t>
            </w:r>
            <w:r>
              <w:rPr>
                <w:spacing w:val="9"/>
              </w:rPr>
              <w:t>食品添加剂</w:t>
            </w:r>
            <w:r>
              <w:rPr>
                <w:rFonts w:ascii="Times New Roman" w:hAnsi="Times New Roman" w:eastAsia="Times New Roman" w:cs="Times New Roman"/>
                <w:spacing w:val="9"/>
              </w:rPr>
              <w:t>”</w:t>
            </w:r>
            <w:r>
              <w:rPr>
                <w:spacing w:val="9"/>
              </w:rPr>
              <w:t>字样、面向市场销售</w:t>
            </w:r>
            <w:r>
              <w:t xml:space="preserve"> </w:t>
            </w:r>
            <w:r>
              <w:rPr>
                <w:spacing w:val="7"/>
              </w:rPr>
              <w:t>产品未注明</w:t>
            </w:r>
            <w:r>
              <w:rPr>
                <w:rFonts w:ascii="Times New Roman" w:hAnsi="Times New Roman" w:eastAsia="Times New Roman" w:cs="Times New Roman"/>
                <w:spacing w:val="7"/>
              </w:rPr>
              <w:t>“</w:t>
            </w:r>
            <w:r>
              <w:rPr>
                <w:spacing w:val="7"/>
              </w:rPr>
              <w:t>零售</w:t>
            </w:r>
            <w:r>
              <w:rPr>
                <w:rFonts w:ascii="Times New Roman" w:hAnsi="Times New Roman" w:eastAsia="Times New Roman" w:cs="Times New Roman"/>
                <w:spacing w:val="7"/>
              </w:rPr>
              <w:t>”</w:t>
            </w:r>
            <w:r>
              <w:rPr>
                <w:spacing w:val="7"/>
              </w:rPr>
              <w:t>字样。</w:t>
            </w:r>
          </w:p>
          <w:p>
            <w:pPr>
              <w:pStyle w:val="6"/>
              <w:spacing w:before="36" w:line="233" w:lineRule="auto"/>
              <w:ind w:left="112" w:right="103" w:hanging="4"/>
            </w:pPr>
            <w:r>
              <w:rPr>
                <w:rFonts w:ascii="Times New Roman" w:hAnsi="Times New Roman" w:eastAsia="Times New Roman" w:cs="Times New Roman"/>
                <w:spacing w:val="8"/>
              </w:rPr>
              <w:t>4.</w:t>
            </w:r>
            <w:r>
              <w:rPr>
                <w:spacing w:val="8"/>
              </w:rPr>
              <w:t>食品添加剂的标签、说明书涉及疾病预防、治</w:t>
            </w:r>
            <w:r>
              <w:rPr>
                <w:spacing w:val="13"/>
              </w:rPr>
              <w:t xml:space="preserve"> </w:t>
            </w:r>
            <w:r>
              <w:rPr>
                <w:spacing w:val="8"/>
              </w:rPr>
              <w:t>疗功能、每日摄入量。</w:t>
            </w:r>
          </w:p>
        </w:tc>
        <w:tc>
          <w:tcPr>
            <w:tcW w:w="5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restart"/>
            <w:tcBorders>
              <w:bottom w:val="nil"/>
            </w:tcBorders>
            <w:vAlign w:val="top"/>
          </w:tcPr>
          <w:p>
            <w:pPr>
              <w:spacing w:line="406"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735" w:type="dxa"/>
            <w:vMerge w:val="restart"/>
            <w:tcBorders>
              <w:bottom w:val="nil"/>
            </w:tcBorders>
            <w:vAlign w:val="top"/>
          </w:tcPr>
          <w:p>
            <w:pPr>
              <w:spacing w:line="363" w:lineRule="auto"/>
              <w:rPr>
                <w:rFonts w:ascii="Arial"/>
                <w:sz w:val="21"/>
              </w:rPr>
            </w:pPr>
          </w:p>
          <w:p>
            <w:pPr>
              <w:pStyle w:val="6"/>
              <w:spacing w:before="65" w:line="225" w:lineRule="auto"/>
              <w:ind w:left="160"/>
            </w:pPr>
            <w:r>
              <w:rPr>
                <w:spacing w:val="4"/>
              </w:rPr>
              <w:t>其他</w:t>
            </w:r>
          </w:p>
        </w:tc>
        <w:tc>
          <w:tcPr>
            <w:tcW w:w="4393" w:type="dxa"/>
            <w:vMerge w:val="restart"/>
            <w:tcBorders>
              <w:bottom w:val="nil"/>
            </w:tcBorders>
            <w:vAlign w:val="top"/>
          </w:tcPr>
          <w:p>
            <w:pPr>
              <w:pStyle w:val="6"/>
              <w:spacing w:before="151" w:line="247" w:lineRule="auto"/>
              <w:ind w:left="112" w:right="106" w:firstLine="15"/>
              <w:jc w:val="both"/>
            </w:pPr>
            <w:r>
              <w:rPr>
                <w:rFonts w:ascii="Times New Roman" w:hAnsi="Times New Roman" w:eastAsia="Times New Roman" w:cs="Times New Roman"/>
                <w:spacing w:val="9"/>
              </w:rPr>
              <w:t>1.</w:t>
            </w:r>
            <w:r>
              <w:rPr>
                <w:spacing w:val="9"/>
              </w:rPr>
              <w:t>应当建立日管控、周排查、月调度等风险管</w:t>
            </w:r>
            <w:r>
              <w:rPr>
                <w:spacing w:val="13"/>
              </w:rPr>
              <w:t xml:space="preserve"> </w:t>
            </w:r>
            <w:r>
              <w:rPr>
                <w:spacing w:val="8"/>
              </w:rPr>
              <w:t>控制度，收集、分析食品安全风险信息，评价</w:t>
            </w:r>
            <w:r>
              <w:rPr>
                <w:spacing w:val="6"/>
              </w:rPr>
              <w:t xml:space="preserve"> </w:t>
            </w:r>
            <w:r>
              <w:rPr>
                <w:spacing w:val="8"/>
              </w:rPr>
              <w:t>风险隐患并进行相应处置。</w:t>
            </w:r>
          </w:p>
        </w:tc>
        <w:tc>
          <w:tcPr>
            <w:tcW w:w="4558" w:type="dxa"/>
            <w:vAlign w:val="top"/>
          </w:tcPr>
          <w:p>
            <w:pPr>
              <w:pStyle w:val="6"/>
              <w:spacing w:before="80" w:line="224" w:lineRule="auto"/>
              <w:ind w:left="118"/>
            </w:pPr>
            <w:r>
              <w:rPr>
                <w:spacing w:val="6"/>
              </w:rPr>
              <w:t>符合规定要求。</w:t>
            </w:r>
          </w:p>
        </w:tc>
        <w:tc>
          <w:tcPr>
            <w:tcW w:w="555" w:type="dxa"/>
            <w:vAlign w:val="top"/>
          </w:tcPr>
          <w:p>
            <w:pPr>
              <w:spacing w:before="115"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81" w:line="224" w:lineRule="auto"/>
              <w:ind w:left="119"/>
            </w:pPr>
            <w:r>
              <w:rPr>
                <w:spacing w:val="7"/>
              </w:rPr>
              <w:t>制度内容或执行略有不足。</w:t>
            </w:r>
          </w:p>
        </w:tc>
        <w:tc>
          <w:tcPr>
            <w:tcW w:w="555" w:type="dxa"/>
            <w:vAlign w:val="top"/>
          </w:tcPr>
          <w:p>
            <w:pPr>
              <w:spacing w:before="116"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79" w:line="224" w:lineRule="auto"/>
              <w:ind w:left="119"/>
            </w:pPr>
            <w:r>
              <w:rPr>
                <w:spacing w:val="7"/>
              </w:rPr>
              <w:t>制度内容或执行严重不足。</w:t>
            </w:r>
          </w:p>
        </w:tc>
        <w:tc>
          <w:tcPr>
            <w:tcW w:w="555" w:type="dxa"/>
            <w:vAlign w:val="top"/>
          </w:tcPr>
          <w:p>
            <w:pPr>
              <w:spacing w:before="114"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9" w:type="default"/>
          <w:pgSz w:w="15840" w:h="12240"/>
          <w:pgMar w:top="1040" w:right="1337" w:bottom="895" w:left="1278" w:header="0" w:footer="723" w:gutter="0"/>
          <w:cols w:space="720" w:num="1"/>
        </w:sectPr>
      </w:pPr>
    </w:p>
    <w:p>
      <w:pPr>
        <w:spacing w:before="12"/>
      </w:pPr>
    </w:p>
    <w:p>
      <w:pPr>
        <w:spacing w:before="12"/>
      </w:pPr>
    </w:p>
    <w:p>
      <w:pPr>
        <w:spacing w:before="11"/>
      </w:pPr>
    </w:p>
    <w:tbl>
      <w:tblPr>
        <w:tblStyle w:val="5"/>
        <w:tblW w:w="13219"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735"/>
        <w:gridCol w:w="4393"/>
        <w:gridCol w:w="4558"/>
        <w:gridCol w:w="555"/>
        <w:gridCol w:w="1114"/>
        <w:gridCol w:w="1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19" w:type="dxa"/>
            <w:vMerge w:val="restart"/>
            <w:tcBorders>
              <w:bottom w:val="nil"/>
            </w:tcBorders>
            <w:vAlign w:val="top"/>
          </w:tcPr>
          <w:p>
            <w:pPr>
              <w:rPr>
                <w:rFonts w:ascii="Arial"/>
                <w:sz w:val="21"/>
              </w:rPr>
            </w:pPr>
          </w:p>
        </w:tc>
        <w:tc>
          <w:tcPr>
            <w:tcW w:w="735" w:type="dxa"/>
            <w:vMerge w:val="restart"/>
            <w:tcBorders>
              <w:bottom w:val="nil"/>
            </w:tcBorders>
            <w:vAlign w:val="top"/>
          </w:tcPr>
          <w:p>
            <w:pPr>
              <w:rPr>
                <w:rFonts w:ascii="Arial"/>
                <w:sz w:val="21"/>
              </w:rPr>
            </w:pPr>
          </w:p>
        </w:tc>
        <w:tc>
          <w:tcPr>
            <w:tcW w:w="4393" w:type="dxa"/>
            <w:vMerge w:val="restart"/>
            <w:tcBorders>
              <w:bottom w:val="nil"/>
            </w:tcBorders>
            <w:vAlign w:val="top"/>
          </w:tcPr>
          <w:p>
            <w:pPr>
              <w:pStyle w:val="6"/>
              <w:spacing w:before="152" w:line="247" w:lineRule="auto"/>
              <w:ind w:left="115" w:right="105" w:hanging="8"/>
              <w:jc w:val="both"/>
            </w:pPr>
            <w:r>
              <w:rPr>
                <w:rFonts w:ascii="Times New Roman" w:hAnsi="Times New Roman" w:eastAsia="Times New Roman" w:cs="Times New Roman"/>
                <w:spacing w:val="10"/>
              </w:rPr>
              <w:t>2.</w:t>
            </w:r>
            <w:r>
              <w:rPr>
                <w:spacing w:val="10"/>
              </w:rPr>
              <w:t>应当建立食品安全事故处置方案，规定食品</w:t>
            </w:r>
            <w:r>
              <w:rPr>
                <w:spacing w:val="12"/>
              </w:rPr>
              <w:t xml:space="preserve"> </w:t>
            </w:r>
            <w:r>
              <w:rPr>
                <w:spacing w:val="19"/>
              </w:rPr>
              <w:t>安全事故处置措施及向事故发生地县级市场</w:t>
            </w:r>
            <w:r>
              <w:rPr>
                <w:spacing w:val="3"/>
              </w:rPr>
              <w:t xml:space="preserve"> </w:t>
            </w:r>
            <w:r>
              <w:rPr>
                <w:spacing w:val="8"/>
              </w:rPr>
              <w:t>监督管理部门和卫生行政部门报告的要求。</w:t>
            </w:r>
          </w:p>
        </w:tc>
        <w:tc>
          <w:tcPr>
            <w:tcW w:w="4558" w:type="dxa"/>
            <w:vAlign w:val="top"/>
          </w:tcPr>
          <w:p>
            <w:pPr>
              <w:pStyle w:val="6"/>
              <w:spacing w:before="81" w:line="224" w:lineRule="auto"/>
              <w:ind w:left="118"/>
            </w:pPr>
            <w:r>
              <w:rPr>
                <w:spacing w:val="6"/>
              </w:rPr>
              <w:t>符合规定要求。</w:t>
            </w:r>
          </w:p>
        </w:tc>
        <w:tc>
          <w:tcPr>
            <w:tcW w:w="555" w:type="dxa"/>
            <w:vAlign w:val="top"/>
          </w:tcPr>
          <w:p>
            <w:pPr>
              <w:spacing w:before="116"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5" w:line="224" w:lineRule="auto"/>
              <w:ind w:left="116"/>
            </w:pPr>
            <w:r>
              <w:rPr>
                <w:spacing w:val="8"/>
              </w:rPr>
              <w:t>方案内容或执行略有不足。</w:t>
            </w:r>
          </w:p>
        </w:tc>
        <w:tc>
          <w:tcPr>
            <w:tcW w:w="555" w:type="dxa"/>
            <w:vAlign w:val="top"/>
          </w:tcPr>
          <w:p>
            <w:pPr>
              <w:spacing w:before="11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76" w:line="224" w:lineRule="auto"/>
              <w:ind w:left="116"/>
            </w:pPr>
            <w:r>
              <w:rPr>
                <w:spacing w:val="8"/>
              </w:rPr>
              <w:t>方案内容或执行严重不足。</w:t>
            </w:r>
          </w:p>
        </w:tc>
        <w:tc>
          <w:tcPr>
            <w:tcW w:w="555" w:type="dxa"/>
            <w:vAlign w:val="top"/>
          </w:tcPr>
          <w:p>
            <w:pPr>
              <w:spacing w:before="111"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pStyle w:val="6"/>
              <w:spacing w:before="148" w:line="248" w:lineRule="auto"/>
              <w:ind w:left="115" w:right="106" w:hanging="3"/>
            </w:pPr>
            <w:r>
              <w:rPr>
                <w:rFonts w:ascii="Times New Roman" w:hAnsi="Times New Roman" w:eastAsia="Times New Roman" w:cs="Times New Roman"/>
                <w:spacing w:val="10"/>
              </w:rPr>
              <w:t>3.</w:t>
            </w:r>
            <w:r>
              <w:rPr>
                <w:spacing w:val="10"/>
              </w:rPr>
              <w:t>应当建立并执行文件、记录管理制度，确保</w:t>
            </w:r>
            <w:r>
              <w:rPr>
                <w:spacing w:val="8"/>
              </w:rPr>
              <w:t xml:space="preserve"> 文件的有效使用以及各类记录的完整、真实、</w:t>
            </w:r>
            <w:r>
              <w:rPr>
                <w:spacing w:val="5"/>
              </w:rPr>
              <w:t xml:space="preserve"> </w:t>
            </w:r>
            <w:r>
              <w:rPr>
                <w:spacing w:val="7"/>
              </w:rPr>
              <w:t>准确和可追溯性。</w:t>
            </w:r>
          </w:p>
        </w:tc>
        <w:tc>
          <w:tcPr>
            <w:tcW w:w="4558" w:type="dxa"/>
            <w:vAlign w:val="top"/>
          </w:tcPr>
          <w:p>
            <w:pPr>
              <w:pStyle w:val="6"/>
              <w:spacing w:before="78" w:line="224" w:lineRule="auto"/>
              <w:ind w:left="118"/>
            </w:pPr>
            <w:r>
              <w:rPr>
                <w:spacing w:val="6"/>
              </w:rPr>
              <w:t>符合规定要求。</w:t>
            </w:r>
          </w:p>
        </w:tc>
        <w:tc>
          <w:tcPr>
            <w:tcW w:w="555" w:type="dxa"/>
            <w:vAlign w:val="top"/>
          </w:tcPr>
          <w:p>
            <w:pPr>
              <w:spacing w:before="113"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79" w:line="224" w:lineRule="auto"/>
              <w:ind w:left="119"/>
            </w:pPr>
            <w:r>
              <w:rPr>
                <w:spacing w:val="7"/>
              </w:rPr>
              <w:t>制度内容或执行略有不足。</w:t>
            </w:r>
          </w:p>
        </w:tc>
        <w:tc>
          <w:tcPr>
            <w:tcW w:w="555" w:type="dxa"/>
            <w:vAlign w:val="top"/>
          </w:tcPr>
          <w:p>
            <w:pPr>
              <w:spacing w:before="114"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80" w:line="224" w:lineRule="auto"/>
              <w:ind w:left="119"/>
            </w:pPr>
            <w:r>
              <w:rPr>
                <w:spacing w:val="7"/>
              </w:rPr>
              <w:t>制度内容或执行严重不足。</w:t>
            </w:r>
          </w:p>
        </w:tc>
        <w:tc>
          <w:tcPr>
            <w:tcW w:w="555" w:type="dxa"/>
            <w:vAlign w:val="top"/>
          </w:tcPr>
          <w:p>
            <w:pPr>
              <w:spacing w:before="115"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restart"/>
            <w:tcBorders>
              <w:bottom w:val="nil"/>
            </w:tcBorders>
            <w:vAlign w:val="top"/>
          </w:tcPr>
          <w:p>
            <w:pPr>
              <w:pStyle w:val="6"/>
              <w:spacing w:before="101" w:line="248" w:lineRule="auto"/>
              <w:ind w:left="117" w:right="108" w:hanging="11"/>
              <w:jc w:val="both"/>
            </w:pPr>
            <w:r>
              <w:rPr>
                <w:rFonts w:ascii="Times New Roman" w:hAnsi="Times New Roman" w:eastAsia="Times New Roman" w:cs="Times New Roman"/>
                <w:spacing w:val="9"/>
              </w:rPr>
              <w:t>4.</w:t>
            </w:r>
            <w:r>
              <w:rPr>
                <w:spacing w:val="9"/>
              </w:rPr>
              <w:t>应当按照相关法律法规、食品安全国家标准</w:t>
            </w:r>
            <w:r>
              <w:rPr>
                <w:spacing w:val="1"/>
              </w:rPr>
              <w:t xml:space="preserve"> </w:t>
            </w:r>
            <w:r>
              <w:rPr>
                <w:spacing w:val="8"/>
              </w:rPr>
              <w:t>等规定，建立并执行其他保障食品安全的管理</w:t>
            </w:r>
            <w:r>
              <w:t xml:space="preserve"> </w:t>
            </w:r>
            <w:r>
              <w:rPr>
                <w:spacing w:val="1"/>
              </w:rPr>
              <w:t>制度。</w:t>
            </w:r>
          </w:p>
        </w:tc>
        <w:tc>
          <w:tcPr>
            <w:tcW w:w="4558" w:type="dxa"/>
            <w:vAlign w:val="top"/>
          </w:tcPr>
          <w:p>
            <w:pPr>
              <w:pStyle w:val="6"/>
              <w:spacing w:before="64" w:line="220" w:lineRule="auto"/>
              <w:ind w:left="118"/>
            </w:pPr>
            <w:r>
              <w:rPr>
                <w:spacing w:val="6"/>
              </w:rPr>
              <w:t>符合规定要求。</w:t>
            </w:r>
          </w:p>
        </w:tc>
        <w:tc>
          <w:tcPr>
            <w:tcW w:w="555" w:type="dxa"/>
            <w:vAlign w:val="top"/>
          </w:tcPr>
          <w:p>
            <w:pPr>
              <w:spacing w:before="99"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19"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393" w:type="dxa"/>
            <w:vMerge w:val="continue"/>
            <w:tcBorders>
              <w:top w:val="nil"/>
              <w:bottom w:val="nil"/>
            </w:tcBorders>
            <w:vAlign w:val="top"/>
          </w:tcPr>
          <w:p>
            <w:pPr>
              <w:rPr>
                <w:rFonts w:ascii="Arial"/>
                <w:sz w:val="21"/>
              </w:rPr>
            </w:pPr>
          </w:p>
        </w:tc>
        <w:tc>
          <w:tcPr>
            <w:tcW w:w="4558" w:type="dxa"/>
            <w:vAlign w:val="top"/>
          </w:tcPr>
          <w:p>
            <w:pPr>
              <w:pStyle w:val="6"/>
              <w:spacing w:before="63" w:line="221" w:lineRule="auto"/>
              <w:ind w:left="119"/>
            </w:pPr>
            <w:r>
              <w:rPr>
                <w:spacing w:val="7"/>
              </w:rPr>
              <w:t>制度内容或执行略有不足。</w:t>
            </w:r>
          </w:p>
        </w:tc>
        <w:tc>
          <w:tcPr>
            <w:tcW w:w="555" w:type="dxa"/>
            <w:vAlign w:val="top"/>
          </w:tcPr>
          <w:p>
            <w:pPr>
              <w:spacing w:before="98"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4" w:type="dxa"/>
            <w:vAlign w:val="top"/>
          </w:tcPr>
          <w:p>
            <w:pPr>
              <w:rPr>
                <w:rFonts w:ascii="Arial"/>
                <w:sz w:val="21"/>
              </w:rPr>
            </w:pPr>
          </w:p>
        </w:tc>
        <w:tc>
          <w:tcPr>
            <w:tcW w:w="12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19"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393" w:type="dxa"/>
            <w:vMerge w:val="continue"/>
            <w:tcBorders>
              <w:top w:val="nil"/>
            </w:tcBorders>
            <w:vAlign w:val="top"/>
          </w:tcPr>
          <w:p>
            <w:pPr>
              <w:rPr>
                <w:rFonts w:ascii="Arial"/>
                <w:sz w:val="21"/>
              </w:rPr>
            </w:pPr>
          </w:p>
        </w:tc>
        <w:tc>
          <w:tcPr>
            <w:tcW w:w="4558" w:type="dxa"/>
            <w:vAlign w:val="top"/>
          </w:tcPr>
          <w:p>
            <w:pPr>
              <w:pStyle w:val="6"/>
              <w:spacing w:before="64" w:line="224" w:lineRule="auto"/>
              <w:ind w:left="119"/>
            </w:pPr>
            <w:r>
              <w:rPr>
                <w:spacing w:val="7"/>
              </w:rPr>
              <w:t>制度内容或执行严重不足。</w:t>
            </w:r>
          </w:p>
        </w:tc>
        <w:tc>
          <w:tcPr>
            <w:tcW w:w="555" w:type="dxa"/>
            <w:vAlign w:val="top"/>
          </w:tcPr>
          <w:p>
            <w:pPr>
              <w:spacing w:before="99"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4" w:type="dxa"/>
            <w:vAlign w:val="top"/>
          </w:tcPr>
          <w:p>
            <w:pPr>
              <w:rPr>
                <w:rFonts w:ascii="Arial"/>
                <w:sz w:val="21"/>
              </w:rPr>
            </w:pPr>
          </w:p>
        </w:tc>
        <w:tc>
          <w:tcPr>
            <w:tcW w:w="1245" w:type="dxa"/>
            <w:vAlign w:val="top"/>
          </w:tcPr>
          <w:p>
            <w:pPr>
              <w:rPr>
                <w:rFonts w:ascii="Arial"/>
                <w:sz w:val="21"/>
              </w:rPr>
            </w:pPr>
          </w:p>
        </w:tc>
      </w:tr>
    </w:tbl>
    <w:p>
      <w:pPr>
        <w:spacing w:before="287" w:line="226" w:lineRule="auto"/>
        <w:ind w:left="4288"/>
        <w:outlineLvl w:val="0"/>
        <w:rPr>
          <w:rFonts w:ascii="黑体" w:hAnsi="黑体" w:eastAsia="黑体" w:cs="黑体"/>
          <w:sz w:val="31"/>
          <w:szCs w:val="31"/>
        </w:rPr>
      </w:pPr>
      <w:r>
        <w:rPr>
          <w:rFonts w:ascii="黑体" w:hAnsi="黑体" w:eastAsia="黑体" w:cs="黑体"/>
          <w:spacing w:val="4"/>
          <w:sz w:val="31"/>
          <w:szCs w:val="31"/>
        </w:rPr>
        <w:t>六、试制产品检验合格报告（共</w:t>
      </w:r>
      <w:r>
        <w:rPr>
          <w:rFonts w:ascii="黑体" w:hAnsi="黑体" w:eastAsia="黑体" w:cs="黑体"/>
          <w:spacing w:val="-33"/>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23"/>
          <w:sz w:val="31"/>
          <w:szCs w:val="31"/>
        </w:rPr>
        <w:t xml:space="preserve"> </w:t>
      </w:r>
      <w:r>
        <w:rPr>
          <w:rFonts w:ascii="黑体" w:hAnsi="黑体" w:eastAsia="黑体" w:cs="黑体"/>
          <w:spacing w:val="4"/>
          <w:sz w:val="31"/>
          <w:szCs w:val="31"/>
        </w:rPr>
        <w:t>分）</w:t>
      </w:r>
    </w:p>
    <w:p>
      <w:pPr>
        <w:spacing w:line="93" w:lineRule="exact"/>
      </w:pPr>
    </w:p>
    <w:tbl>
      <w:tblPr>
        <w:tblStyle w:val="5"/>
        <w:tblW w:w="13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735"/>
        <w:gridCol w:w="4408"/>
        <w:gridCol w:w="4528"/>
        <w:gridCol w:w="570"/>
        <w:gridCol w:w="1110"/>
        <w:gridCol w:w="1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28" w:type="dxa"/>
            <w:vAlign w:val="top"/>
          </w:tcPr>
          <w:p>
            <w:pPr>
              <w:spacing w:before="171" w:line="231" w:lineRule="auto"/>
              <w:ind w:left="109"/>
              <w:rPr>
                <w:rFonts w:ascii="黑体" w:hAnsi="黑体" w:eastAsia="黑体" w:cs="黑体"/>
                <w:sz w:val="20"/>
                <w:szCs w:val="20"/>
              </w:rPr>
            </w:pPr>
            <w:r>
              <w:rPr>
                <w:rFonts w:ascii="黑体" w:hAnsi="黑体" w:eastAsia="黑体" w:cs="黑体"/>
                <w:spacing w:val="4"/>
                <w:sz w:val="20"/>
                <w:szCs w:val="20"/>
              </w:rPr>
              <w:t>序号</w:t>
            </w:r>
          </w:p>
        </w:tc>
        <w:tc>
          <w:tcPr>
            <w:tcW w:w="735" w:type="dxa"/>
            <w:vAlign w:val="top"/>
          </w:tcPr>
          <w:p>
            <w:pPr>
              <w:spacing w:before="35" w:line="234" w:lineRule="auto"/>
              <w:ind w:left="291" w:right="53" w:hanging="238"/>
              <w:rPr>
                <w:rFonts w:ascii="黑体" w:hAnsi="黑体" w:eastAsia="黑体" w:cs="黑体"/>
                <w:sz w:val="20"/>
                <w:szCs w:val="20"/>
              </w:rPr>
            </w:pPr>
            <w:r>
              <w:rPr>
                <w:rFonts w:ascii="黑体" w:hAnsi="黑体" w:eastAsia="黑体" w:cs="黑体"/>
                <w:spacing w:val="7"/>
                <w:sz w:val="20"/>
                <w:szCs w:val="20"/>
              </w:rPr>
              <w:t>核查项</w:t>
            </w:r>
            <w:r>
              <w:rPr>
                <w:rFonts w:ascii="黑体" w:hAnsi="黑体" w:eastAsia="黑体" w:cs="黑体"/>
                <w:sz w:val="20"/>
                <w:szCs w:val="20"/>
              </w:rPr>
              <w:t xml:space="preserve"> 目</w:t>
            </w:r>
          </w:p>
        </w:tc>
        <w:tc>
          <w:tcPr>
            <w:tcW w:w="4408" w:type="dxa"/>
            <w:vAlign w:val="top"/>
          </w:tcPr>
          <w:p>
            <w:pPr>
              <w:spacing w:before="170" w:line="231" w:lineRule="auto"/>
              <w:ind w:left="1788"/>
              <w:rPr>
                <w:rFonts w:ascii="黑体" w:hAnsi="黑体" w:eastAsia="黑体" w:cs="黑体"/>
                <w:sz w:val="20"/>
                <w:szCs w:val="20"/>
              </w:rPr>
            </w:pPr>
            <w:r>
              <w:rPr>
                <w:rFonts w:ascii="黑体" w:hAnsi="黑体" w:eastAsia="黑体" w:cs="黑体"/>
                <w:spacing w:val="7"/>
                <w:sz w:val="20"/>
                <w:szCs w:val="20"/>
              </w:rPr>
              <w:t>核查内容</w:t>
            </w:r>
          </w:p>
        </w:tc>
        <w:tc>
          <w:tcPr>
            <w:tcW w:w="5098" w:type="dxa"/>
            <w:gridSpan w:val="2"/>
            <w:vAlign w:val="top"/>
          </w:tcPr>
          <w:p>
            <w:pPr>
              <w:spacing w:before="170" w:line="230" w:lineRule="auto"/>
              <w:ind w:left="2135"/>
              <w:rPr>
                <w:rFonts w:ascii="黑体" w:hAnsi="黑体" w:eastAsia="黑体" w:cs="黑体"/>
                <w:sz w:val="20"/>
                <w:szCs w:val="20"/>
              </w:rPr>
            </w:pPr>
            <w:r>
              <w:rPr>
                <w:rFonts w:ascii="黑体" w:hAnsi="黑体" w:eastAsia="黑体" w:cs="黑体"/>
                <w:spacing w:val="7"/>
                <w:sz w:val="20"/>
                <w:szCs w:val="20"/>
              </w:rPr>
              <w:t>评分标准</w:t>
            </w:r>
          </w:p>
        </w:tc>
        <w:tc>
          <w:tcPr>
            <w:tcW w:w="1110" w:type="dxa"/>
            <w:vAlign w:val="top"/>
          </w:tcPr>
          <w:p>
            <w:pPr>
              <w:spacing w:before="170" w:line="230" w:lineRule="auto"/>
              <w:ind w:left="142"/>
              <w:rPr>
                <w:rFonts w:ascii="黑体" w:hAnsi="黑体" w:eastAsia="黑体" w:cs="黑体"/>
                <w:sz w:val="20"/>
                <w:szCs w:val="20"/>
              </w:rPr>
            </w:pPr>
            <w:r>
              <w:rPr>
                <w:rFonts w:ascii="黑体" w:hAnsi="黑体" w:eastAsia="黑体" w:cs="黑体"/>
                <w:spacing w:val="7"/>
                <w:sz w:val="20"/>
                <w:szCs w:val="20"/>
              </w:rPr>
              <w:t>核查记录</w:t>
            </w:r>
          </w:p>
        </w:tc>
        <w:tc>
          <w:tcPr>
            <w:tcW w:w="1252" w:type="dxa"/>
            <w:vAlign w:val="top"/>
          </w:tcPr>
          <w:p>
            <w:pPr>
              <w:spacing w:before="171" w:line="231" w:lineRule="auto"/>
              <w:ind w:left="210"/>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28" w:type="dxa"/>
            <w:vMerge w:val="restart"/>
            <w:tcBorders>
              <w:bottom w:val="nil"/>
            </w:tcBorders>
            <w:vAlign w:val="top"/>
          </w:tcPr>
          <w:p>
            <w:pPr>
              <w:spacing w:line="416" w:lineRule="auto"/>
              <w:rPr>
                <w:rFonts w:ascii="Arial"/>
                <w:sz w:val="21"/>
              </w:rPr>
            </w:pPr>
          </w:p>
          <w:p>
            <w:pPr>
              <w:spacing w:before="58" w:line="195" w:lineRule="auto"/>
              <w:ind w:left="1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735" w:type="dxa"/>
            <w:vMerge w:val="restart"/>
            <w:tcBorders>
              <w:bottom w:val="nil"/>
            </w:tcBorders>
            <w:vAlign w:val="top"/>
          </w:tcPr>
          <w:p>
            <w:pPr>
              <w:pStyle w:val="6"/>
              <w:spacing w:before="33" w:line="225" w:lineRule="auto"/>
              <w:ind w:left="53"/>
            </w:pPr>
            <w:r>
              <w:rPr>
                <w:spacing w:val="7"/>
              </w:rPr>
              <w:t>试制产</w:t>
            </w:r>
          </w:p>
          <w:p>
            <w:pPr>
              <w:pStyle w:val="6"/>
              <w:spacing w:before="28" w:line="223" w:lineRule="auto"/>
              <w:ind w:left="81"/>
            </w:pPr>
            <w:r>
              <w:rPr>
                <w:spacing w:val="-2"/>
              </w:rPr>
              <w:t>品检验</w:t>
            </w:r>
          </w:p>
          <w:p>
            <w:pPr>
              <w:pStyle w:val="6"/>
              <w:spacing w:before="29" w:line="225" w:lineRule="auto"/>
              <w:ind w:left="57"/>
            </w:pPr>
            <w:r>
              <w:rPr>
                <w:spacing w:val="6"/>
              </w:rPr>
              <w:t>合格报</w:t>
            </w:r>
          </w:p>
          <w:p>
            <w:pPr>
              <w:pStyle w:val="6"/>
              <w:spacing w:before="29" w:line="217" w:lineRule="auto"/>
              <w:ind w:left="273"/>
            </w:pPr>
            <w:r>
              <w:t>告</w:t>
            </w:r>
          </w:p>
        </w:tc>
        <w:tc>
          <w:tcPr>
            <w:tcW w:w="4408" w:type="dxa"/>
            <w:vMerge w:val="restart"/>
            <w:tcBorders>
              <w:bottom w:val="nil"/>
            </w:tcBorders>
            <w:vAlign w:val="top"/>
          </w:tcPr>
          <w:p>
            <w:pPr>
              <w:pStyle w:val="6"/>
              <w:spacing w:before="171" w:line="247" w:lineRule="auto"/>
              <w:ind w:left="6" w:right="2" w:firstLine="7"/>
              <w:jc w:val="both"/>
            </w:pPr>
            <w:r>
              <w:rPr>
                <w:spacing w:val="8"/>
              </w:rPr>
              <w:t>应当提交符合产品执行的食品安全国家标准、国</w:t>
            </w:r>
            <w:r>
              <w:rPr>
                <w:spacing w:val="17"/>
              </w:rPr>
              <w:t xml:space="preserve"> </w:t>
            </w:r>
            <w:r>
              <w:rPr>
                <w:spacing w:val="19"/>
              </w:rPr>
              <w:t>务院卫生行政部门相关公告的试制食品添加剂</w:t>
            </w:r>
            <w:r>
              <w:rPr>
                <w:spacing w:val="12"/>
              </w:rPr>
              <w:t xml:space="preserve"> </w:t>
            </w:r>
            <w:r>
              <w:rPr>
                <w:spacing w:val="7"/>
              </w:rPr>
              <w:t>检验合格报告。</w:t>
            </w:r>
          </w:p>
        </w:tc>
        <w:tc>
          <w:tcPr>
            <w:tcW w:w="4528" w:type="dxa"/>
            <w:vAlign w:val="top"/>
          </w:tcPr>
          <w:p>
            <w:pPr>
              <w:pStyle w:val="6"/>
              <w:spacing w:before="76" w:line="224" w:lineRule="auto"/>
              <w:ind w:left="15"/>
            </w:pPr>
            <w:r>
              <w:rPr>
                <w:spacing w:val="6"/>
              </w:rPr>
              <w:t>符合规定要求。</w:t>
            </w:r>
          </w:p>
        </w:tc>
        <w:tc>
          <w:tcPr>
            <w:tcW w:w="570" w:type="dxa"/>
            <w:vAlign w:val="top"/>
          </w:tcPr>
          <w:p>
            <w:pPr>
              <w:spacing w:before="102" w:line="195" w:lineRule="auto"/>
              <w:ind w:left="25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0" w:type="dxa"/>
            <w:vAlign w:val="top"/>
          </w:tcPr>
          <w:p>
            <w:pPr>
              <w:rPr>
                <w:rFonts w:ascii="Arial"/>
                <w:sz w:val="21"/>
              </w:rPr>
            </w:pPr>
          </w:p>
        </w:tc>
        <w:tc>
          <w:tcPr>
            <w:tcW w:w="1252"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28" w:type="dxa"/>
            <w:vMerge w:val="continue"/>
            <w:tcBorders>
              <w:top w:val="nil"/>
              <w:bottom w:val="nil"/>
            </w:tcBorders>
            <w:vAlign w:val="top"/>
          </w:tcPr>
          <w:p>
            <w:pPr>
              <w:rPr>
                <w:rFonts w:ascii="Arial"/>
                <w:sz w:val="21"/>
              </w:rPr>
            </w:pPr>
          </w:p>
        </w:tc>
        <w:tc>
          <w:tcPr>
            <w:tcW w:w="735" w:type="dxa"/>
            <w:vMerge w:val="continue"/>
            <w:tcBorders>
              <w:top w:val="nil"/>
              <w:bottom w:val="nil"/>
            </w:tcBorders>
            <w:vAlign w:val="top"/>
          </w:tcPr>
          <w:p>
            <w:pPr>
              <w:rPr>
                <w:rFonts w:ascii="Arial"/>
                <w:sz w:val="21"/>
              </w:rPr>
            </w:pPr>
          </w:p>
        </w:tc>
        <w:tc>
          <w:tcPr>
            <w:tcW w:w="4408" w:type="dxa"/>
            <w:vMerge w:val="continue"/>
            <w:tcBorders>
              <w:top w:val="nil"/>
              <w:bottom w:val="nil"/>
            </w:tcBorders>
            <w:vAlign w:val="top"/>
          </w:tcPr>
          <w:p>
            <w:pPr>
              <w:rPr>
                <w:rFonts w:ascii="Arial"/>
                <w:sz w:val="21"/>
              </w:rPr>
            </w:pPr>
          </w:p>
        </w:tc>
        <w:tc>
          <w:tcPr>
            <w:tcW w:w="4528" w:type="dxa"/>
            <w:vAlign w:val="top"/>
          </w:tcPr>
          <w:p>
            <w:pPr>
              <w:pStyle w:val="6"/>
              <w:spacing w:before="78" w:line="223" w:lineRule="auto"/>
              <w:ind w:left="16"/>
            </w:pPr>
            <w:r>
              <w:rPr>
                <w:spacing w:val="7"/>
              </w:rPr>
              <w:t>规定的检验项目不全。</w:t>
            </w:r>
          </w:p>
        </w:tc>
        <w:tc>
          <w:tcPr>
            <w:tcW w:w="570" w:type="dxa"/>
            <w:vAlign w:val="top"/>
          </w:tcPr>
          <w:p>
            <w:pPr>
              <w:spacing w:before="103" w:line="195" w:lineRule="auto"/>
              <w:ind w:left="161"/>
              <w:rPr>
                <w:rFonts w:ascii="Times New Roman" w:hAnsi="Times New Roman" w:eastAsia="Times New Roman" w:cs="Times New Roman"/>
                <w:sz w:val="20"/>
                <w:szCs w:val="20"/>
              </w:rPr>
            </w:pPr>
            <w:r>
              <w:rPr>
                <w:rFonts w:ascii="Times New Roman" w:hAnsi="Times New Roman" w:eastAsia="Times New Roman" w:cs="Times New Roman"/>
                <w:sz w:val="20"/>
                <w:szCs w:val="20"/>
              </w:rPr>
              <w:t>0.5</w:t>
            </w:r>
          </w:p>
        </w:tc>
        <w:tc>
          <w:tcPr>
            <w:tcW w:w="1110" w:type="dxa"/>
            <w:vAlign w:val="top"/>
          </w:tcPr>
          <w:p>
            <w:pPr>
              <w:rPr>
                <w:rFonts w:ascii="Arial"/>
                <w:sz w:val="21"/>
              </w:rPr>
            </w:pPr>
          </w:p>
        </w:tc>
        <w:tc>
          <w:tcPr>
            <w:tcW w:w="125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28" w:type="dxa"/>
            <w:vMerge w:val="continue"/>
            <w:tcBorders>
              <w:top w:val="nil"/>
            </w:tcBorders>
            <w:vAlign w:val="top"/>
          </w:tcPr>
          <w:p>
            <w:pPr>
              <w:rPr>
                <w:rFonts w:ascii="Arial"/>
                <w:sz w:val="21"/>
              </w:rPr>
            </w:pPr>
          </w:p>
        </w:tc>
        <w:tc>
          <w:tcPr>
            <w:tcW w:w="735" w:type="dxa"/>
            <w:vMerge w:val="continue"/>
            <w:tcBorders>
              <w:top w:val="nil"/>
            </w:tcBorders>
            <w:vAlign w:val="top"/>
          </w:tcPr>
          <w:p>
            <w:pPr>
              <w:rPr>
                <w:rFonts w:ascii="Arial"/>
                <w:sz w:val="21"/>
              </w:rPr>
            </w:pPr>
          </w:p>
        </w:tc>
        <w:tc>
          <w:tcPr>
            <w:tcW w:w="4408" w:type="dxa"/>
            <w:vMerge w:val="continue"/>
            <w:tcBorders>
              <w:top w:val="nil"/>
            </w:tcBorders>
            <w:vAlign w:val="top"/>
          </w:tcPr>
          <w:p>
            <w:pPr>
              <w:rPr>
                <w:rFonts w:ascii="Arial"/>
                <w:sz w:val="21"/>
              </w:rPr>
            </w:pPr>
          </w:p>
        </w:tc>
        <w:tc>
          <w:tcPr>
            <w:tcW w:w="4528" w:type="dxa"/>
            <w:vAlign w:val="top"/>
          </w:tcPr>
          <w:p>
            <w:pPr>
              <w:pStyle w:val="6"/>
              <w:spacing w:before="94" w:line="223" w:lineRule="auto"/>
              <w:ind w:left="16"/>
            </w:pPr>
            <w:r>
              <w:rPr>
                <w:spacing w:val="6"/>
              </w:rPr>
              <w:t>无检验合格报告。</w:t>
            </w:r>
          </w:p>
        </w:tc>
        <w:tc>
          <w:tcPr>
            <w:tcW w:w="570" w:type="dxa"/>
            <w:vAlign w:val="top"/>
          </w:tcPr>
          <w:p>
            <w:pPr>
              <w:spacing w:before="129" w:line="195" w:lineRule="auto"/>
              <w:ind w:left="23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10" w:type="dxa"/>
            <w:vAlign w:val="top"/>
          </w:tcPr>
          <w:p>
            <w:pPr>
              <w:rPr>
                <w:rFonts w:ascii="Arial"/>
                <w:sz w:val="21"/>
              </w:rPr>
            </w:pPr>
          </w:p>
        </w:tc>
        <w:tc>
          <w:tcPr>
            <w:tcW w:w="125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0" w:type="default"/>
          <w:pgSz w:w="15840" w:h="12240"/>
          <w:pgMar w:top="1040" w:right="1337" w:bottom="897" w:left="1254" w:header="0" w:footer="723" w:gutter="0"/>
          <w:cols w:space="720" w:num="1"/>
        </w:sectPr>
      </w:pPr>
    </w:p>
    <w:p>
      <w:pPr>
        <w:spacing w:line="351" w:lineRule="auto"/>
        <w:rPr>
          <w:rFonts w:ascii="Arial"/>
          <w:sz w:val="21"/>
        </w:rPr>
      </w:pPr>
    </w:p>
    <w:p>
      <w:pPr>
        <w:spacing w:line="351" w:lineRule="auto"/>
        <w:rPr>
          <w:rFonts w:ascii="Arial"/>
          <w:sz w:val="21"/>
        </w:rPr>
      </w:pPr>
    </w:p>
    <w:p>
      <w:pPr>
        <w:spacing w:before="101"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39" w:line="594" w:lineRule="exact"/>
        <w:ind w:left="2060"/>
        <w:rPr>
          <w:rFonts w:ascii="宋体" w:hAnsi="宋体" w:eastAsia="宋体" w:cs="宋体"/>
          <w:sz w:val="43"/>
          <w:szCs w:val="43"/>
        </w:rPr>
      </w:pPr>
      <w:r>
        <w:rPr>
          <w:rFonts w:ascii="宋体" w:hAnsi="宋体" w:eastAsia="宋体" w:cs="宋体"/>
          <w:b/>
          <w:bCs/>
          <w:spacing w:val="4"/>
          <w:position w:val="2"/>
          <w:sz w:val="43"/>
          <w:szCs w:val="43"/>
        </w:rPr>
        <w:t>复配食品添加剂生产许可现场核查评分记录表</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2"/>
        <w:spacing w:before="101" w:line="226" w:lineRule="auto"/>
        <w:ind w:left="2275"/>
      </w:pPr>
      <w:r>
        <w:rPr>
          <w:spacing w:val="-2"/>
        </w:rPr>
        <w:t>申请人名称：</w:t>
      </w:r>
      <w:r>
        <w:rPr>
          <w:spacing w:val="-2"/>
          <w:u w:val="single" w:color="auto"/>
        </w:rPr>
        <w:t xml:space="preserve">                                              </w:t>
      </w:r>
    </w:p>
    <w:p>
      <w:pPr>
        <w:spacing w:line="358" w:lineRule="auto"/>
        <w:rPr>
          <w:rFonts w:ascii="Arial"/>
          <w:sz w:val="21"/>
        </w:rPr>
      </w:pPr>
    </w:p>
    <w:p>
      <w:pPr>
        <w:pStyle w:val="2"/>
        <w:spacing w:before="101" w:line="226" w:lineRule="auto"/>
        <w:ind w:left="2230"/>
      </w:pPr>
      <w:r>
        <w:rPr>
          <w:spacing w:val="8"/>
        </w:rPr>
        <w:t>食品、食品添加剂类别及类别名称：</w:t>
      </w:r>
      <w:r>
        <w:rPr>
          <w:spacing w:val="8"/>
          <w:u w:val="single" w:color="auto"/>
        </w:rPr>
        <w:t xml:space="preserve">   复配食品添加剂</w:t>
      </w:r>
      <w:r>
        <w:rPr>
          <w:spacing w:val="1"/>
          <w:u w:val="single" w:color="auto"/>
        </w:rPr>
        <w:t xml:space="preserve">         </w:t>
      </w:r>
    </w:p>
    <w:p>
      <w:pPr>
        <w:spacing w:line="356" w:lineRule="auto"/>
        <w:rPr>
          <w:rFonts w:ascii="Arial"/>
          <w:sz w:val="21"/>
        </w:rPr>
      </w:pPr>
    </w:p>
    <w:p>
      <w:pPr>
        <w:pStyle w:val="2"/>
        <w:spacing w:before="101" w:line="228" w:lineRule="auto"/>
        <w:ind w:left="2249"/>
      </w:pPr>
      <w:r>
        <w:rPr>
          <w:spacing w:val="2"/>
        </w:rPr>
        <w:t>生产场所地址：</w:t>
      </w:r>
      <w:r>
        <w:rPr>
          <w:spacing w:val="2"/>
          <w:u w:val="single" w:color="auto"/>
        </w:rPr>
        <w:t xml:space="preserve">                              </w:t>
      </w:r>
      <w:r>
        <w:rPr>
          <w:spacing w:val="1"/>
          <w:u w:val="single" w:color="auto"/>
        </w:rPr>
        <w:t xml:space="preserve">              </w:t>
      </w:r>
    </w:p>
    <w:p>
      <w:pPr>
        <w:spacing w:line="354" w:lineRule="auto"/>
        <w:rPr>
          <w:rFonts w:ascii="Arial"/>
          <w:sz w:val="21"/>
        </w:rPr>
      </w:pPr>
    </w:p>
    <w:p>
      <w:pPr>
        <w:pStyle w:val="2"/>
        <w:spacing w:before="101" w:line="228" w:lineRule="auto"/>
        <w:ind w:left="2229"/>
      </w:pPr>
      <w:r>
        <w:rPr>
          <w:spacing w:val="-2"/>
        </w:rPr>
        <w:t>核查日期：</w:t>
      </w:r>
      <w:r>
        <w:rPr>
          <w:spacing w:val="5"/>
          <w:u w:val="single" w:color="auto"/>
        </w:rPr>
        <w:t xml:space="preserve">               </w:t>
      </w:r>
      <w:r>
        <w:rPr>
          <w:spacing w:val="-128"/>
        </w:rPr>
        <w:t xml:space="preserve"> </w:t>
      </w:r>
      <w:r>
        <w:rPr>
          <w:spacing w:val="-2"/>
        </w:rPr>
        <w:t>年</w:t>
      </w:r>
      <w:r>
        <w:rPr>
          <w:spacing w:val="5"/>
          <w:u w:val="single" w:color="auto"/>
        </w:rPr>
        <w:t xml:space="preserve">             </w:t>
      </w:r>
      <w:r>
        <w:rPr>
          <w:spacing w:val="-118"/>
        </w:rPr>
        <w:t xml:space="preserve"> </w:t>
      </w:r>
      <w:r>
        <w:rPr>
          <w:spacing w:val="-2"/>
        </w:rPr>
        <w:t>月</w:t>
      </w:r>
      <w:r>
        <w:rPr>
          <w:spacing w:val="5"/>
          <w:u w:val="single" w:color="auto"/>
        </w:rPr>
        <w:t xml:space="preserve">               </w:t>
      </w:r>
      <w:r>
        <w:rPr>
          <w:spacing w:val="-66"/>
        </w:rPr>
        <w:t xml:space="preserve"> </w:t>
      </w:r>
      <w:r>
        <w:rPr>
          <w:spacing w:val="-2"/>
        </w:rPr>
        <w:t>日</w:t>
      </w:r>
    </w:p>
    <w:p>
      <w:pPr>
        <w:spacing w:line="228" w:lineRule="auto"/>
        <w:sectPr>
          <w:footerReference r:id="rId51" w:type="default"/>
          <w:pgSz w:w="15840" w:h="12240"/>
          <w:pgMar w:top="1040" w:right="2376" w:bottom="895" w:left="1469" w:header="0" w:footer="724" w:gutter="0"/>
          <w:cols w:space="720" w:num="1"/>
        </w:sectPr>
      </w:pPr>
    </w:p>
    <w:p>
      <w:pPr>
        <w:spacing w:before="12"/>
      </w:pPr>
    </w:p>
    <w:p>
      <w:pPr>
        <w:spacing w:before="12"/>
      </w:pPr>
    </w:p>
    <w:p>
      <w:pPr>
        <w:spacing w:before="11"/>
      </w:pPr>
    </w:p>
    <w:tbl>
      <w:tblPr>
        <w:tblStyle w:val="5"/>
        <w:tblW w:w="12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978"/>
        <w:gridCol w:w="5549"/>
        <w:gridCol w:w="1127"/>
        <w:gridCol w:w="3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13" w:type="dxa"/>
            <w:vMerge w:val="restart"/>
            <w:tcBorders>
              <w:bottom w:val="nil"/>
            </w:tcBorders>
            <w:textDirection w:val="tbRlV"/>
            <w:vAlign w:val="top"/>
          </w:tcPr>
          <w:p>
            <w:pPr>
              <w:pStyle w:val="6"/>
              <w:spacing w:before="183" w:line="207" w:lineRule="auto"/>
              <w:ind w:left="1729"/>
              <w:rPr>
                <w:sz w:val="24"/>
                <w:szCs w:val="24"/>
              </w:rPr>
            </w:pPr>
            <w:r>
              <w:rPr>
                <w:spacing w:val="-1"/>
                <w:sz w:val="24"/>
                <w:szCs w:val="24"/>
              </w:rPr>
              <w:t>核</w:t>
            </w:r>
            <w:r>
              <w:rPr>
                <w:spacing w:val="42"/>
                <w:sz w:val="24"/>
                <w:szCs w:val="24"/>
              </w:rPr>
              <w:t xml:space="preserve"> </w:t>
            </w:r>
            <w:r>
              <w:rPr>
                <w:spacing w:val="-1"/>
                <w:sz w:val="24"/>
                <w:szCs w:val="24"/>
              </w:rPr>
              <w:t>查</w:t>
            </w:r>
            <w:r>
              <w:rPr>
                <w:spacing w:val="39"/>
                <w:sz w:val="24"/>
                <w:szCs w:val="24"/>
              </w:rPr>
              <w:t xml:space="preserve"> </w:t>
            </w:r>
            <w:r>
              <w:rPr>
                <w:spacing w:val="-1"/>
                <w:sz w:val="24"/>
                <w:szCs w:val="24"/>
              </w:rPr>
              <w:t>组</w:t>
            </w:r>
            <w:r>
              <w:rPr>
                <w:spacing w:val="41"/>
                <w:sz w:val="24"/>
                <w:szCs w:val="24"/>
              </w:rPr>
              <w:t xml:space="preserve"> </w:t>
            </w:r>
            <w:r>
              <w:rPr>
                <w:spacing w:val="-1"/>
                <w:sz w:val="24"/>
                <w:szCs w:val="24"/>
              </w:rPr>
              <w:t>成</w:t>
            </w:r>
            <w:r>
              <w:rPr>
                <w:spacing w:val="42"/>
                <w:sz w:val="24"/>
                <w:szCs w:val="24"/>
              </w:rPr>
              <w:t xml:space="preserve"> </w:t>
            </w:r>
            <w:r>
              <w:rPr>
                <w:spacing w:val="-1"/>
                <w:sz w:val="24"/>
                <w:szCs w:val="24"/>
              </w:rPr>
              <w:t>员</w:t>
            </w:r>
          </w:p>
        </w:tc>
        <w:tc>
          <w:tcPr>
            <w:tcW w:w="1978" w:type="dxa"/>
            <w:vAlign w:val="top"/>
          </w:tcPr>
          <w:p>
            <w:pPr>
              <w:pStyle w:val="6"/>
              <w:spacing w:before="288" w:line="219" w:lineRule="auto"/>
              <w:ind w:left="272"/>
              <w:rPr>
                <w:sz w:val="24"/>
                <w:szCs w:val="24"/>
              </w:rPr>
            </w:pPr>
            <w:r>
              <w:rPr>
                <w:spacing w:val="-2"/>
                <w:sz w:val="24"/>
                <w:szCs w:val="24"/>
              </w:rPr>
              <w:t>姓名（签名）</w:t>
            </w:r>
          </w:p>
        </w:tc>
        <w:tc>
          <w:tcPr>
            <w:tcW w:w="5549" w:type="dxa"/>
            <w:vAlign w:val="top"/>
          </w:tcPr>
          <w:p>
            <w:pPr>
              <w:pStyle w:val="6"/>
              <w:spacing w:before="287" w:line="216" w:lineRule="auto"/>
              <w:ind w:left="2545"/>
              <w:rPr>
                <w:sz w:val="24"/>
                <w:szCs w:val="24"/>
              </w:rPr>
            </w:pPr>
            <w:r>
              <w:rPr>
                <w:spacing w:val="-8"/>
                <w:sz w:val="24"/>
                <w:szCs w:val="24"/>
              </w:rPr>
              <w:t>单位</w:t>
            </w:r>
          </w:p>
        </w:tc>
        <w:tc>
          <w:tcPr>
            <w:tcW w:w="1127" w:type="dxa"/>
            <w:vAlign w:val="top"/>
          </w:tcPr>
          <w:p>
            <w:pPr>
              <w:pStyle w:val="6"/>
              <w:spacing w:before="287" w:line="218" w:lineRule="auto"/>
              <w:ind w:left="341"/>
              <w:rPr>
                <w:sz w:val="24"/>
                <w:szCs w:val="24"/>
              </w:rPr>
            </w:pPr>
            <w:r>
              <w:rPr>
                <w:spacing w:val="-10"/>
                <w:sz w:val="24"/>
                <w:szCs w:val="24"/>
              </w:rPr>
              <w:t>职务</w:t>
            </w:r>
          </w:p>
        </w:tc>
        <w:tc>
          <w:tcPr>
            <w:tcW w:w="3121" w:type="dxa"/>
            <w:vAlign w:val="top"/>
          </w:tcPr>
          <w:p>
            <w:pPr>
              <w:pStyle w:val="6"/>
              <w:spacing w:before="287" w:line="217" w:lineRule="auto"/>
              <w:ind w:left="1085"/>
              <w:rPr>
                <w:sz w:val="24"/>
                <w:szCs w:val="24"/>
              </w:rPr>
            </w:pPr>
            <w:r>
              <w:rPr>
                <w:spacing w:val="-3"/>
                <w:sz w:val="24"/>
                <w:szCs w:val="24"/>
              </w:rPr>
              <w:t>核查分工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pStyle w:val="6"/>
              <w:spacing w:before="285" w:line="220" w:lineRule="auto"/>
              <w:ind w:left="334"/>
              <w:rPr>
                <w:sz w:val="24"/>
                <w:szCs w:val="24"/>
              </w:rPr>
            </w:pPr>
            <w:r>
              <w:rPr>
                <w:spacing w:val="-7"/>
                <w:sz w:val="24"/>
                <w:szCs w:val="24"/>
              </w:rPr>
              <w:t>组长</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pStyle w:val="6"/>
              <w:spacing w:before="286" w:line="219" w:lineRule="auto"/>
              <w:ind w:left="334"/>
              <w:rPr>
                <w:sz w:val="24"/>
                <w:szCs w:val="24"/>
              </w:rPr>
            </w:pPr>
            <w:r>
              <w:rPr>
                <w:spacing w:val="-7"/>
                <w:sz w:val="24"/>
                <w:szCs w:val="24"/>
              </w:rPr>
              <w:t>组员</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pStyle w:val="6"/>
              <w:spacing w:before="286" w:line="219" w:lineRule="auto"/>
              <w:ind w:left="334"/>
              <w:rPr>
                <w:sz w:val="24"/>
                <w:szCs w:val="24"/>
              </w:rPr>
            </w:pPr>
            <w:r>
              <w:rPr>
                <w:spacing w:val="-7"/>
                <w:sz w:val="24"/>
                <w:szCs w:val="24"/>
              </w:rPr>
              <w:t>组员</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rPr>
                <w:rFonts w:ascii="Arial"/>
                <w:sz w:val="21"/>
              </w:rPr>
            </w:pP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rPr>
                <w:rFonts w:ascii="Arial"/>
                <w:sz w:val="21"/>
              </w:rPr>
            </w:pP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13" w:type="dxa"/>
            <w:vMerge w:val="continue"/>
            <w:tcBorders>
              <w:top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rPr>
                <w:rFonts w:ascii="Arial"/>
                <w:sz w:val="21"/>
              </w:rPr>
            </w:pPr>
          </w:p>
        </w:tc>
        <w:tc>
          <w:tcPr>
            <w:tcW w:w="31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2" w:type="default"/>
          <w:pgSz w:w="15840" w:h="12240"/>
          <w:pgMar w:top="1040" w:right="1723" w:bottom="897" w:left="1723" w:header="0" w:footer="723"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97" w:line="218" w:lineRule="auto"/>
        <w:ind w:left="6177"/>
        <w:rPr>
          <w:rFonts w:ascii="宋体" w:hAnsi="宋体" w:eastAsia="宋体" w:cs="宋体"/>
          <w:sz w:val="30"/>
          <w:szCs w:val="30"/>
        </w:rPr>
      </w:pPr>
      <w:r>
        <w:rPr>
          <w:rFonts w:ascii="宋体" w:hAnsi="宋体" w:eastAsia="宋体" w:cs="宋体"/>
          <w:b/>
          <w:bCs/>
          <w:spacing w:val="-5"/>
          <w:sz w:val="30"/>
          <w:szCs w:val="30"/>
        </w:rPr>
        <w:t>使用说明</w:t>
      </w:r>
    </w:p>
    <w:p>
      <w:pPr>
        <w:pStyle w:val="2"/>
        <w:spacing w:before="161" w:line="321" w:lineRule="auto"/>
        <w:ind w:right="45" w:firstLine="436"/>
        <w:rPr>
          <w:sz w:val="20"/>
          <w:szCs w:val="20"/>
        </w:rPr>
      </w:pPr>
      <w:r>
        <w:rPr>
          <w:rFonts w:ascii="Times New Roman" w:hAnsi="Times New Roman" w:eastAsia="Times New Roman" w:cs="Times New Roman"/>
          <w:spacing w:val="11"/>
          <w:sz w:val="20"/>
          <w:szCs w:val="20"/>
        </w:rPr>
        <w:t xml:space="preserve">1.  </w:t>
      </w:r>
      <w:r>
        <w:rPr>
          <w:spacing w:val="11"/>
          <w:sz w:val="20"/>
          <w:szCs w:val="20"/>
        </w:rPr>
        <w:t>本记录表依据《中华人民共和国食品安全法》及其实施条例、《食品生产许可管理办法》等</w:t>
      </w:r>
      <w:r>
        <w:rPr>
          <w:spacing w:val="10"/>
          <w:sz w:val="20"/>
          <w:szCs w:val="20"/>
        </w:rPr>
        <w:t>法律法规、规章以及《食品生产许可审查</w:t>
      </w:r>
      <w:r>
        <w:rPr>
          <w:sz w:val="20"/>
          <w:szCs w:val="20"/>
        </w:rPr>
        <w:t xml:space="preserve"> </w:t>
      </w:r>
      <w:r>
        <w:rPr>
          <w:spacing w:val="10"/>
          <w:sz w:val="20"/>
          <w:szCs w:val="20"/>
        </w:rPr>
        <w:t>通则》《食品添加剂生产许可审查细则》和相关食品安全国家标准的要求制定，替</w:t>
      </w:r>
      <w:r>
        <w:rPr>
          <w:spacing w:val="9"/>
          <w:sz w:val="20"/>
          <w:szCs w:val="20"/>
        </w:rPr>
        <w:t>代《食品生产许可审查通则》附件</w:t>
      </w:r>
      <w:r>
        <w:rPr>
          <w:spacing w:val="-43"/>
          <w:sz w:val="20"/>
          <w:szCs w:val="20"/>
        </w:rPr>
        <w:t xml:space="preserve"> </w:t>
      </w:r>
      <w:r>
        <w:rPr>
          <w:rFonts w:ascii="Times New Roman" w:hAnsi="Times New Roman" w:eastAsia="Times New Roman" w:cs="Times New Roman"/>
          <w:spacing w:val="9"/>
          <w:sz w:val="20"/>
          <w:szCs w:val="20"/>
        </w:rPr>
        <w:t>2</w:t>
      </w:r>
      <w:r>
        <w:rPr>
          <w:spacing w:val="9"/>
          <w:sz w:val="20"/>
          <w:szCs w:val="20"/>
        </w:rPr>
        <w:t>《食品、食品添加剂生</w:t>
      </w:r>
      <w:r>
        <w:rPr>
          <w:sz w:val="20"/>
          <w:szCs w:val="20"/>
        </w:rPr>
        <w:t xml:space="preserve"> </w:t>
      </w:r>
      <w:r>
        <w:rPr>
          <w:spacing w:val="9"/>
          <w:sz w:val="20"/>
          <w:szCs w:val="20"/>
        </w:rPr>
        <w:t>产许可现场核查评分记录表》，用于食品添加剂生产许可现场核查评分。</w:t>
      </w:r>
    </w:p>
    <w:p>
      <w:pPr>
        <w:pStyle w:val="2"/>
        <w:spacing w:before="156" w:line="224" w:lineRule="auto"/>
        <w:ind w:left="417"/>
        <w:rPr>
          <w:sz w:val="20"/>
          <w:szCs w:val="20"/>
        </w:rPr>
      </w:pPr>
      <w:r>
        <w:rPr>
          <w:rFonts w:ascii="Times New Roman" w:hAnsi="Times New Roman" w:eastAsia="Times New Roman" w:cs="Times New Roman"/>
          <w:spacing w:val="7"/>
          <w:sz w:val="20"/>
          <w:szCs w:val="20"/>
        </w:rPr>
        <w:t xml:space="preserve">2.  </w:t>
      </w:r>
      <w:r>
        <w:rPr>
          <w:spacing w:val="7"/>
          <w:sz w:val="20"/>
          <w:szCs w:val="20"/>
        </w:rPr>
        <w:t>本记录表应当结合《食品添加剂生产许可审查细则》（</w:t>
      </w:r>
      <w:r>
        <w:rPr>
          <w:spacing w:val="-19"/>
          <w:sz w:val="20"/>
          <w:szCs w:val="20"/>
        </w:rPr>
        <w:t xml:space="preserve"> </w:t>
      </w:r>
      <w:r>
        <w:rPr>
          <w:spacing w:val="7"/>
          <w:sz w:val="20"/>
          <w:szCs w:val="20"/>
        </w:rPr>
        <w:t>以下简称《细则》）要求使用。</w:t>
      </w:r>
    </w:p>
    <w:p>
      <w:pPr>
        <w:pStyle w:val="2"/>
        <w:spacing w:before="157" w:line="296" w:lineRule="auto"/>
        <w:ind w:right="35" w:firstLine="421"/>
        <w:rPr>
          <w:sz w:val="20"/>
          <w:szCs w:val="20"/>
        </w:rPr>
      </w:pPr>
      <w:r>
        <w:rPr>
          <w:rFonts w:ascii="Times New Roman" w:hAnsi="Times New Roman" w:eastAsia="Times New Roman" w:cs="Times New Roman"/>
          <w:spacing w:val="6"/>
          <w:sz w:val="20"/>
          <w:szCs w:val="20"/>
        </w:rPr>
        <w:t xml:space="preserve">3.  </w:t>
      </w:r>
      <w:r>
        <w:rPr>
          <w:spacing w:val="6"/>
          <w:sz w:val="20"/>
          <w:szCs w:val="20"/>
        </w:rPr>
        <w:t>本记录表包括生产场所（</w:t>
      </w:r>
      <w:r>
        <w:rPr>
          <w:rFonts w:ascii="Times New Roman" w:hAnsi="Times New Roman" w:eastAsia="Times New Roman" w:cs="Times New Roman"/>
          <w:spacing w:val="6"/>
          <w:sz w:val="20"/>
          <w:szCs w:val="20"/>
        </w:rPr>
        <w:t xml:space="preserve">7 </w:t>
      </w:r>
      <w:r>
        <w:rPr>
          <w:spacing w:val="6"/>
          <w:sz w:val="20"/>
          <w:szCs w:val="20"/>
        </w:rPr>
        <w:t>项</w:t>
      </w:r>
      <w:r>
        <w:rPr>
          <w:spacing w:val="-30"/>
          <w:sz w:val="20"/>
          <w:szCs w:val="20"/>
        </w:rPr>
        <w:t xml:space="preserve"> </w:t>
      </w:r>
      <w:r>
        <w:rPr>
          <w:rFonts w:ascii="Times New Roman" w:hAnsi="Times New Roman" w:eastAsia="Times New Roman" w:cs="Times New Roman"/>
          <w:spacing w:val="6"/>
          <w:sz w:val="20"/>
          <w:szCs w:val="20"/>
        </w:rPr>
        <w:t>21</w:t>
      </w:r>
      <w:r>
        <w:rPr>
          <w:rFonts w:ascii="Times New Roman" w:hAnsi="Times New Roman" w:eastAsia="Times New Roman" w:cs="Times New Roman"/>
          <w:spacing w:val="16"/>
          <w:w w:val="101"/>
          <w:sz w:val="20"/>
          <w:szCs w:val="20"/>
        </w:rPr>
        <w:t xml:space="preserve"> </w:t>
      </w:r>
      <w:r>
        <w:rPr>
          <w:spacing w:val="6"/>
          <w:sz w:val="20"/>
          <w:szCs w:val="20"/>
        </w:rPr>
        <w:t>分）、设备设施（</w:t>
      </w:r>
      <w:r>
        <w:rPr>
          <w:spacing w:val="-47"/>
          <w:sz w:val="20"/>
          <w:szCs w:val="20"/>
        </w:rPr>
        <w:t xml:space="preserve"> </w:t>
      </w:r>
      <w:r>
        <w:rPr>
          <w:rFonts w:ascii="Times New Roman" w:hAnsi="Times New Roman" w:eastAsia="Times New Roman" w:cs="Times New Roman"/>
          <w:spacing w:val="6"/>
          <w:sz w:val="20"/>
          <w:szCs w:val="20"/>
        </w:rPr>
        <w:t xml:space="preserve">12 </w:t>
      </w:r>
      <w:r>
        <w:rPr>
          <w:spacing w:val="6"/>
          <w:sz w:val="20"/>
          <w:szCs w:val="20"/>
        </w:rPr>
        <w:t>项</w:t>
      </w:r>
      <w:r>
        <w:rPr>
          <w:spacing w:val="-36"/>
          <w:sz w:val="20"/>
          <w:szCs w:val="20"/>
        </w:rPr>
        <w:t xml:space="preserve"> </w:t>
      </w:r>
      <w:r>
        <w:rPr>
          <w:rFonts w:ascii="Times New Roman" w:hAnsi="Times New Roman" w:eastAsia="Times New Roman" w:cs="Times New Roman"/>
          <w:spacing w:val="6"/>
          <w:sz w:val="20"/>
          <w:szCs w:val="20"/>
        </w:rPr>
        <w:t xml:space="preserve">36 </w:t>
      </w:r>
      <w:r>
        <w:rPr>
          <w:spacing w:val="6"/>
          <w:sz w:val="20"/>
          <w:szCs w:val="20"/>
        </w:rPr>
        <w:t>分）、设备布局和工艺流程（</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4"/>
          <w:w w:val="101"/>
          <w:sz w:val="20"/>
          <w:szCs w:val="20"/>
        </w:rPr>
        <w:t xml:space="preserve"> </w:t>
      </w:r>
      <w:r>
        <w:rPr>
          <w:spacing w:val="6"/>
          <w:sz w:val="20"/>
          <w:szCs w:val="20"/>
        </w:rPr>
        <w:t>项</w:t>
      </w:r>
      <w:r>
        <w:rPr>
          <w:spacing w:val="-39"/>
          <w:sz w:val="20"/>
          <w:szCs w:val="20"/>
        </w:rPr>
        <w:t xml:space="preserve"> </w:t>
      </w:r>
      <w:r>
        <w:rPr>
          <w:rFonts w:ascii="Times New Roman" w:hAnsi="Times New Roman" w:eastAsia="Times New Roman" w:cs="Times New Roman"/>
          <w:spacing w:val="6"/>
          <w:sz w:val="20"/>
          <w:szCs w:val="20"/>
        </w:rPr>
        <w:t>9</w:t>
      </w:r>
      <w:r>
        <w:rPr>
          <w:rFonts w:ascii="Times New Roman" w:hAnsi="Times New Roman" w:eastAsia="Times New Roman" w:cs="Times New Roman"/>
          <w:spacing w:val="13"/>
          <w:w w:val="101"/>
          <w:sz w:val="20"/>
          <w:szCs w:val="20"/>
        </w:rPr>
        <w:t xml:space="preserve"> </w:t>
      </w:r>
      <w:r>
        <w:rPr>
          <w:spacing w:val="6"/>
          <w:sz w:val="20"/>
          <w:szCs w:val="20"/>
        </w:rPr>
        <w:t>分）、人员管理（</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2"/>
          <w:w w:val="101"/>
          <w:sz w:val="20"/>
          <w:szCs w:val="20"/>
        </w:rPr>
        <w:t xml:space="preserve"> </w:t>
      </w:r>
      <w:r>
        <w:rPr>
          <w:spacing w:val="6"/>
          <w:sz w:val="20"/>
          <w:szCs w:val="20"/>
        </w:rPr>
        <w:t>项</w:t>
      </w:r>
      <w:r>
        <w:rPr>
          <w:spacing w:val="-37"/>
          <w:sz w:val="20"/>
          <w:szCs w:val="20"/>
        </w:rPr>
        <w:t xml:space="preserve"> </w:t>
      </w:r>
      <w:r>
        <w:rPr>
          <w:rFonts w:ascii="Times New Roman" w:hAnsi="Times New Roman" w:eastAsia="Times New Roman" w:cs="Times New Roman"/>
          <w:spacing w:val="6"/>
          <w:sz w:val="20"/>
          <w:szCs w:val="20"/>
        </w:rPr>
        <w:t>9</w:t>
      </w:r>
      <w:r>
        <w:rPr>
          <w:rFonts w:ascii="Times New Roman" w:hAnsi="Times New Roman" w:eastAsia="Times New Roman" w:cs="Times New Roman"/>
          <w:spacing w:val="14"/>
          <w:sz w:val="20"/>
          <w:szCs w:val="20"/>
        </w:rPr>
        <w:t xml:space="preserve"> </w:t>
      </w:r>
      <w:r>
        <w:rPr>
          <w:spacing w:val="6"/>
          <w:sz w:val="20"/>
          <w:szCs w:val="20"/>
        </w:rPr>
        <w:t>分）、管理制</w:t>
      </w:r>
      <w:r>
        <w:rPr>
          <w:sz w:val="20"/>
          <w:szCs w:val="20"/>
        </w:rPr>
        <w:t xml:space="preserve"> </w:t>
      </w:r>
      <w:r>
        <w:rPr>
          <w:spacing w:val="5"/>
          <w:sz w:val="20"/>
          <w:szCs w:val="20"/>
        </w:rPr>
        <w:t>度（</w:t>
      </w:r>
      <w:r>
        <w:rPr>
          <w:rFonts w:ascii="Times New Roman" w:hAnsi="Times New Roman" w:eastAsia="Times New Roman" w:cs="Times New Roman"/>
          <w:spacing w:val="5"/>
          <w:sz w:val="20"/>
          <w:szCs w:val="20"/>
        </w:rPr>
        <w:t>20</w:t>
      </w:r>
      <w:r>
        <w:rPr>
          <w:rFonts w:ascii="Times New Roman" w:hAnsi="Times New Roman" w:eastAsia="Times New Roman" w:cs="Times New Roman"/>
          <w:spacing w:val="15"/>
          <w:sz w:val="20"/>
          <w:szCs w:val="20"/>
        </w:rPr>
        <w:t xml:space="preserve"> </w:t>
      </w:r>
      <w:r>
        <w:rPr>
          <w:spacing w:val="5"/>
          <w:sz w:val="20"/>
          <w:szCs w:val="20"/>
        </w:rPr>
        <w:t>项，</w:t>
      </w:r>
      <w:r>
        <w:rPr>
          <w:rFonts w:ascii="Times New Roman" w:hAnsi="Times New Roman" w:eastAsia="Times New Roman" w:cs="Times New Roman"/>
          <w:spacing w:val="5"/>
          <w:sz w:val="20"/>
          <w:szCs w:val="20"/>
        </w:rPr>
        <w:t>60</w:t>
      </w:r>
      <w:r>
        <w:rPr>
          <w:rFonts w:ascii="Times New Roman" w:hAnsi="Times New Roman" w:eastAsia="Times New Roman" w:cs="Times New Roman"/>
          <w:spacing w:val="16"/>
          <w:sz w:val="20"/>
          <w:szCs w:val="20"/>
        </w:rPr>
        <w:t xml:space="preserve"> </w:t>
      </w:r>
      <w:r>
        <w:rPr>
          <w:spacing w:val="5"/>
          <w:sz w:val="20"/>
          <w:szCs w:val="20"/>
        </w:rPr>
        <w:t>分）</w:t>
      </w:r>
      <w:r>
        <w:rPr>
          <w:spacing w:val="-52"/>
          <w:sz w:val="20"/>
          <w:szCs w:val="20"/>
        </w:rPr>
        <w:t xml:space="preserve"> </w:t>
      </w:r>
      <w:r>
        <w:rPr>
          <w:spacing w:val="5"/>
          <w:sz w:val="20"/>
          <w:szCs w:val="20"/>
        </w:rPr>
        <w:t>以及试制产品检验合格报告（</w:t>
      </w:r>
      <w:r>
        <w:rPr>
          <w:spacing w:val="-47"/>
          <w:sz w:val="20"/>
          <w:szCs w:val="20"/>
        </w:rPr>
        <w:t xml:space="preserve"> </w:t>
      </w:r>
      <w:r>
        <w:rPr>
          <w:rFonts w:ascii="Times New Roman" w:hAnsi="Times New Roman" w:eastAsia="Times New Roman" w:cs="Times New Roman"/>
          <w:spacing w:val="5"/>
          <w:sz w:val="20"/>
          <w:szCs w:val="20"/>
        </w:rPr>
        <w:t xml:space="preserve">1 </w:t>
      </w:r>
      <w:r>
        <w:rPr>
          <w:spacing w:val="5"/>
          <w:sz w:val="20"/>
          <w:szCs w:val="20"/>
        </w:rPr>
        <w:t>分</w:t>
      </w:r>
      <w:r>
        <w:rPr>
          <w:spacing w:val="4"/>
          <w:sz w:val="20"/>
          <w:szCs w:val="20"/>
        </w:rPr>
        <w:t>）六部分，共</w:t>
      </w:r>
      <w:r>
        <w:rPr>
          <w:spacing w:val="-44"/>
          <w:sz w:val="20"/>
          <w:szCs w:val="20"/>
        </w:rPr>
        <w:t xml:space="preserve"> </w:t>
      </w:r>
      <w:r>
        <w:rPr>
          <w:rFonts w:ascii="Times New Roman" w:hAnsi="Times New Roman" w:eastAsia="Times New Roman" w:cs="Times New Roman"/>
          <w:spacing w:val="4"/>
          <w:sz w:val="20"/>
          <w:szCs w:val="20"/>
        </w:rPr>
        <w:t xml:space="preserve">46 </w:t>
      </w:r>
      <w:r>
        <w:rPr>
          <w:spacing w:val="4"/>
          <w:sz w:val="20"/>
          <w:szCs w:val="20"/>
        </w:rPr>
        <w:t>个核查项目</w:t>
      </w:r>
      <w:r>
        <w:rPr>
          <w:spacing w:val="-21"/>
          <w:sz w:val="20"/>
          <w:szCs w:val="20"/>
        </w:rPr>
        <w:t xml:space="preserve"> </w:t>
      </w:r>
      <w:r>
        <w:rPr>
          <w:rFonts w:ascii="Times New Roman" w:hAnsi="Times New Roman" w:eastAsia="Times New Roman" w:cs="Times New Roman"/>
          <w:spacing w:val="4"/>
          <w:sz w:val="20"/>
          <w:szCs w:val="20"/>
        </w:rPr>
        <w:t xml:space="preserve">136 </w:t>
      </w:r>
      <w:r>
        <w:rPr>
          <w:spacing w:val="4"/>
          <w:sz w:val="20"/>
          <w:szCs w:val="20"/>
        </w:rPr>
        <w:t>分。</w:t>
      </w:r>
    </w:p>
    <w:p>
      <w:pPr>
        <w:pStyle w:val="2"/>
        <w:spacing w:before="158" w:line="223" w:lineRule="auto"/>
        <w:ind w:left="416"/>
        <w:rPr>
          <w:sz w:val="20"/>
          <w:szCs w:val="20"/>
        </w:rPr>
      </w:pPr>
      <w:r>
        <w:rPr>
          <w:rFonts w:ascii="Times New Roman" w:hAnsi="Times New Roman" w:eastAsia="Times New Roman" w:cs="Times New Roman"/>
          <w:spacing w:val="9"/>
          <w:sz w:val="20"/>
          <w:szCs w:val="20"/>
        </w:rPr>
        <w:t xml:space="preserve">4.  </w:t>
      </w:r>
      <w:r>
        <w:rPr>
          <w:spacing w:val="9"/>
          <w:sz w:val="20"/>
          <w:szCs w:val="20"/>
        </w:rPr>
        <w:t>核查组应当按照核查项目规定的核查内容及评分标准核查评分，并将发现的问题详实地记录在</w:t>
      </w:r>
      <w:r>
        <w:rPr>
          <w:rFonts w:ascii="Times New Roman" w:hAnsi="Times New Roman" w:eastAsia="Times New Roman" w:cs="Times New Roman"/>
          <w:spacing w:val="9"/>
          <w:sz w:val="20"/>
          <w:szCs w:val="20"/>
        </w:rPr>
        <w:t>“</w:t>
      </w:r>
      <w:r>
        <w:rPr>
          <w:spacing w:val="9"/>
          <w:sz w:val="20"/>
          <w:szCs w:val="20"/>
        </w:rPr>
        <w:t>核查记录</w:t>
      </w:r>
      <w:r>
        <w:rPr>
          <w:rFonts w:ascii="Times New Roman" w:hAnsi="Times New Roman" w:eastAsia="Times New Roman" w:cs="Times New Roman"/>
          <w:spacing w:val="9"/>
          <w:sz w:val="20"/>
          <w:szCs w:val="20"/>
        </w:rPr>
        <w:t>”</w:t>
      </w:r>
      <w:r>
        <w:rPr>
          <w:spacing w:val="9"/>
          <w:sz w:val="20"/>
          <w:szCs w:val="20"/>
        </w:rPr>
        <w:t>栏目中。</w:t>
      </w:r>
    </w:p>
    <w:p>
      <w:pPr>
        <w:pStyle w:val="2"/>
        <w:spacing w:before="161" w:line="333" w:lineRule="auto"/>
        <w:ind w:firstLine="422"/>
        <w:rPr>
          <w:sz w:val="20"/>
          <w:szCs w:val="20"/>
        </w:rPr>
      </w:pPr>
      <w:r>
        <w:rPr>
          <w:rFonts w:ascii="Times New Roman" w:hAnsi="Times New Roman" w:eastAsia="Times New Roman" w:cs="Times New Roman"/>
          <w:spacing w:val="9"/>
          <w:sz w:val="20"/>
          <w:szCs w:val="20"/>
        </w:rPr>
        <w:t xml:space="preserve">5.  </w:t>
      </w:r>
      <w:r>
        <w:rPr>
          <w:spacing w:val="9"/>
          <w:sz w:val="20"/>
          <w:szCs w:val="20"/>
        </w:rPr>
        <w:t>现场核查评分原则：现场核查评分标准分为符合要求、基本符合要求、</w:t>
      </w:r>
      <w:r>
        <w:rPr>
          <w:spacing w:val="8"/>
          <w:sz w:val="20"/>
          <w:szCs w:val="20"/>
        </w:rPr>
        <w:t>不符合要求。符合要求，是指现场核查情况全部符合</w:t>
      </w:r>
      <w:r>
        <w:rPr>
          <w:rFonts w:ascii="Times New Roman" w:hAnsi="Times New Roman" w:eastAsia="Times New Roman" w:cs="Times New Roman"/>
          <w:spacing w:val="8"/>
          <w:sz w:val="20"/>
          <w:szCs w:val="20"/>
        </w:rPr>
        <w:t>“</w:t>
      </w:r>
      <w:r>
        <w:rPr>
          <w:spacing w:val="8"/>
          <w:sz w:val="20"/>
          <w:szCs w:val="20"/>
        </w:rPr>
        <w:t>核查内容</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spacing w:val="9"/>
          <w:sz w:val="20"/>
          <w:szCs w:val="20"/>
        </w:rPr>
        <w:t>要求，得</w:t>
      </w:r>
      <w:r>
        <w:rPr>
          <w:spacing w:val="-39"/>
          <w:sz w:val="20"/>
          <w:szCs w:val="20"/>
        </w:rPr>
        <w:t xml:space="preserve"> </w:t>
      </w:r>
      <w:r>
        <w:rPr>
          <w:rFonts w:ascii="Times New Roman" w:hAnsi="Times New Roman" w:eastAsia="Times New Roman" w:cs="Times New Roman"/>
          <w:spacing w:val="9"/>
          <w:sz w:val="20"/>
          <w:szCs w:val="20"/>
        </w:rPr>
        <w:t xml:space="preserve">3 </w:t>
      </w:r>
      <w:r>
        <w:rPr>
          <w:spacing w:val="9"/>
          <w:sz w:val="20"/>
          <w:szCs w:val="20"/>
        </w:rPr>
        <w:t>分；基本符合要求，是指现场核查发现的问题属于个别、轻微或偶然</w:t>
      </w:r>
      <w:r>
        <w:rPr>
          <w:spacing w:val="8"/>
          <w:sz w:val="20"/>
          <w:szCs w:val="20"/>
        </w:rPr>
        <w:t>发生，不会对食品安全产生严重影响，可在规定时间内通过整</w:t>
      </w:r>
      <w:r>
        <w:rPr>
          <w:sz w:val="20"/>
          <w:szCs w:val="20"/>
        </w:rPr>
        <w:t xml:space="preserve"> </w:t>
      </w:r>
      <w:r>
        <w:rPr>
          <w:spacing w:val="8"/>
          <w:sz w:val="20"/>
          <w:szCs w:val="20"/>
        </w:rPr>
        <w:t>改达到食品安全要求的，得</w:t>
      </w:r>
      <w:r>
        <w:rPr>
          <w:spacing w:val="-5"/>
          <w:sz w:val="20"/>
          <w:szCs w:val="20"/>
        </w:rPr>
        <w:t xml:space="preserve"> </w:t>
      </w:r>
      <w:r>
        <w:rPr>
          <w:rFonts w:ascii="Times New Roman" w:hAnsi="Times New Roman" w:eastAsia="Times New Roman" w:cs="Times New Roman"/>
          <w:spacing w:val="8"/>
          <w:sz w:val="20"/>
          <w:szCs w:val="20"/>
        </w:rPr>
        <w:t xml:space="preserve">1 </w:t>
      </w:r>
      <w:r>
        <w:rPr>
          <w:spacing w:val="8"/>
          <w:sz w:val="20"/>
          <w:szCs w:val="20"/>
        </w:rPr>
        <w:t>分；不符合要求，是指现场核查发现的问题属于申请人内部普遍、严重、系统性或区域性缺陷，可能影响食品安</w:t>
      </w:r>
      <w:r>
        <w:rPr>
          <w:sz w:val="20"/>
          <w:szCs w:val="20"/>
        </w:rPr>
        <w:t xml:space="preserve"> </w:t>
      </w:r>
      <w:r>
        <w:rPr>
          <w:spacing w:val="4"/>
          <w:sz w:val="20"/>
          <w:szCs w:val="20"/>
        </w:rPr>
        <w:t>全的，得</w:t>
      </w:r>
      <w:r>
        <w:rPr>
          <w:spacing w:val="-33"/>
          <w:sz w:val="20"/>
          <w:szCs w:val="20"/>
        </w:rPr>
        <w:t xml:space="preserve"> </w:t>
      </w:r>
      <w:r>
        <w:rPr>
          <w:rFonts w:ascii="Times New Roman" w:hAnsi="Times New Roman" w:eastAsia="Times New Roman" w:cs="Times New Roman"/>
          <w:spacing w:val="4"/>
          <w:sz w:val="20"/>
          <w:szCs w:val="20"/>
        </w:rPr>
        <w:t xml:space="preserve">0 </w:t>
      </w:r>
      <w:r>
        <w:rPr>
          <w:spacing w:val="4"/>
          <w:sz w:val="20"/>
          <w:szCs w:val="20"/>
        </w:rPr>
        <w:t>分。</w:t>
      </w:r>
    </w:p>
    <w:p>
      <w:pPr>
        <w:pStyle w:val="2"/>
        <w:spacing w:before="154" w:line="360" w:lineRule="auto"/>
        <w:ind w:right="45" w:firstLine="374"/>
        <w:jc w:val="both"/>
        <w:rPr>
          <w:sz w:val="20"/>
          <w:szCs w:val="20"/>
        </w:rPr>
      </w:pPr>
      <w:r>
        <w:rPr>
          <w:rFonts w:ascii="Times New Roman" w:hAnsi="Times New Roman" w:eastAsia="Times New Roman" w:cs="Times New Roman"/>
          <w:spacing w:val="11"/>
          <w:sz w:val="20"/>
          <w:szCs w:val="20"/>
        </w:rPr>
        <w:t>“</w:t>
      </w:r>
      <w:r>
        <w:rPr>
          <w:spacing w:val="11"/>
          <w:sz w:val="20"/>
          <w:szCs w:val="20"/>
        </w:rPr>
        <w:t>用于配方的各单一品种食品添加剂应为食品安全国家标准准许使用的食品添加剂品种，且具有共同的使用范围</w:t>
      </w:r>
      <w:r>
        <w:rPr>
          <w:rFonts w:ascii="Times New Roman" w:hAnsi="Times New Roman" w:eastAsia="Times New Roman" w:cs="Times New Roman"/>
          <w:spacing w:val="11"/>
          <w:sz w:val="20"/>
          <w:szCs w:val="20"/>
        </w:rPr>
        <w:t>”</w:t>
      </w:r>
      <w:r>
        <w:rPr>
          <w:rFonts w:ascii="Times New Roman" w:hAnsi="Times New Roman" w:eastAsia="Times New Roman" w:cs="Times New Roman"/>
          <w:spacing w:val="-14"/>
          <w:sz w:val="20"/>
          <w:szCs w:val="20"/>
        </w:rPr>
        <w:t xml:space="preserve"> </w:t>
      </w:r>
      <w:r>
        <w:rPr>
          <w:spacing w:val="11"/>
          <w:sz w:val="20"/>
          <w:szCs w:val="20"/>
        </w:rPr>
        <w:t>、</w:t>
      </w:r>
      <w:r>
        <w:rPr>
          <w:rFonts w:ascii="Times New Roman" w:hAnsi="Times New Roman" w:eastAsia="Times New Roman" w:cs="Times New Roman"/>
          <w:spacing w:val="11"/>
          <w:sz w:val="20"/>
          <w:szCs w:val="20"/>
        </w:rPr>
        <w:t>“</w:t>
      </w:r>
      <w:r>
        <w:rPr>
          <w:spacing w:val="11"/>
          <w:sz w:val="20"/>
          <w:szCs w:val="20"/>
        </w:rPr>
        <w:t>应确保复配食品添加</w:t>
      </w:r>
      <w:r>
        <w:rPr>
          <w:sz w:val="20"/>
          <w:szCs w:val="20"/>
        </w:rPr>
        <w:t xml:space="preserve"> </w:t>
      </w:r>
      <w:r>
        <w:rPr>
          <w:spacing w:val="9"/>
          <w:sz w:val="20"/>
          <w:szCs w:val="20"/>
        </w:rPr>
        <w:t>剂在生产过程中不发生化学反应，不产生新的化合物</w:t>
      </w:r>
      <w:r>
        <w:rPr>
          <w:rFonts w:ascii="Times New Roman" w:hAnsi="Times New Roman" w:eastAsia="Times New Roman" w:cs="Times New Roman"/>
          <w:spacing w:val="9"/>
          <w:sz w:val="20"/>
          <w:szCs w:val="20"/>
        </w:rPr>
        <w:t>”“</w:t>
      </w:r>
      <w:r>
        <w:rPr>
          <w:spacing w:val="9"/>
          <w:sz w:val="20"/>
          <w:szCs w:val="20"/>
        </w:rPr>
        <w:t>不得使用复配食品添加剂作为原料再次进行复配，不得使用食品用香精作为原料进行复</w:t>
      </w:r>
      <w:r>
        <w:rPr>
          <w:spacing w:val="6"/>
          <w:sz w:val="20"/>
          <w:szCs w:val="20"/>
        </w:rPr>
        <w:t xml:space="preserve"> 配</w:t>
      </w:r>
      <w:r>
        <w:rPr>
          <w:rFonts w:ascii="Times New Roman" w:hAnsi="Times New Roman" w:eastAsia="Times New Roman" w:cs="Times New Roman"/>
          <w:spacing w:val="6"/>
          <w:sz w:val="20"/>
          <w:szCs w:val="20"/>
        </w:rPr>
        <w:t>”</w:t>
      </w:r>
      <w:r>
        <w:rPr>
          <w:spacing w:val="6"/>
          <w:sz w:val="20"/>
          <w:szCs w:val="20"/>
        </w:rPr>
        <w:t>核查判定得分均为</w:t>
      </w:r>
      <w:r>
        <w:rPr>
          <w:spacing w:val="-28"/>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分、</w:t>
      </w:r>
      <w:r>
        <w:rPr>
          <w:rFonts w:ascii="Times New Roman" w:hAnsi="Times New Roman" w:eastAsia="Times New Roman" w:cs="Times New Roman"/>
          <w:spacing w:val="6"/>
          <w:sz w:val="20"/>
          <w:szCs w:val="20"/>
        </w:rPr>
        <w:t xml:space="preserve">0 </w:t>
      </w:r>
      <w:r>
        <w:rPr>
          <w:spacing w:val="6"/>
          <w:sz w:val="20"/>
          <w:szCs w:val="20"/>
        </w:rPr>
        <w:t>分。</w:t>
      </w:r>
    </w:p>
    <w:p>
      <w:pPr>
        <w:pStyle w:val="2"/>
        <w:spacing w:before="31" w:line="223" w:lineRule="auto"/>
        <w:ind w:left="419"/>
        <w:rPr>
          <w:sz w:val="20"/>
          <w:szCs w:val="20"/>
        </w:rPr>
      </w:pPr>
      <w:r>
        <w:rPr>
          <w:spacing w:val="6"/>
          <w:sz w:val="20"/>
          <w:szCs w:val="20"/>
        </w:rPr>
        <w:t>试制产品检验报告核查判定得分为</w:t>
      </w:r>
      <w:r>
        <w:rPr>
          <w:spacing w:val="-10"/>
          <w:sz w:val="20"/>
          <w:szCs w:val="20"/>
        </w:rPr>
        <w:t xml:space="preserve"> </w:t>
      </w:r>
      <w:r>
        <w:rPr>
          <w:rFonts w:ascii="Times New Roman" w:hAnsi="Times New Roman" w:eastAsia="Times New Roman" w:cs="Times New Roman"/>
          <w:spacing w:val="6"/>
          <w:sz w:val="20"/>
          <w:szCs w:val="20"/>
        </w:rPr>
        <w:t xml:space="preserve">1 </w:t>
      </w:r>
      <w:r>
        <w:rPr>
          <w:spacing w:val="6"/>
          <w:sz w:val="20"/>
          <w:szCs w:val="20"/>
        </w:rPr>
        <w:t>分、</w:t>
      </w:r>
      <w:r>
        <w:rPr>
          <w:rFonts w:ascii="Times New Roman" w:hAnsi="Times New Roman" w:eastAsia="Times New Roman" w:cs="Times New Roman"/>
          <w:spacing w:val="6"/>
          <w:sz w:val="20"/>
          <w:szCs w:val="20"/>
        </w:rPr>
        <w:t xml:space="preserve">0.5 </w:t>
      </w:r>
      <w:r>
        <w:rPr>
          <w:spacing w:val="6"/>
          <w:sz w:val="20"/>
          <w:szCs w:val="20"/>
        </w:rPr>
        <w:t>分和</w:t>
      </w:r>
      <w:r>
        <w:rPr>
          <w:spacing w:val="-37"/>
          <w:sz w:val="20"/>
          <w:szCs w:val="20"/>
        </w:rPr>
        <w:t xml:space="preserve"> </w:t>
      </w:r>
      <w:r>
        <w:rPr>
          <w:rFonts w:ascii="Times New Roman" w:hAnsi="Times New Roman" w:eastAsia="Times New Roman" w:cs="Times New Roman"/>
          <w:spacing w:val="6"/>
          <w:sz w:val="20"/>
          <w:szCs w:val="20"/>
        </w:rPr>
        <w:t xml:space="preserve">0 </w:t>
      </w:r>
      <w:r>
        <w:rPr>
          <w:spacing w:val="6"/>
          <w:sz w:val="20"/>
          <w:szCs w:val="20"/>
        </w:rPr>
        <w:t>分。</w:t>
      </w:r>
    </w:p>
    <w:p>
      <w:pPr>
        <w:pStyle w:val="2"/>
        <w:spacing w:before="158" w:line="297" w:lineRule="auto"/>
        <w:ind w:left="446" w:right="1583" w:hanging="25"/>
        <w:rPr>
          <w:sz w:val="20"/>
          <w:szCs w:val="20"/>
        </w:rPr>
      </w:pPr>
      <w:r>
        <w:rPr>
          <w:rFonts w:ascii="Times New Roman" w:hAnsi="Times New Roman" w:eastAsia="Times New Roman" w:cs="Times New Roman"/>
          <w:spacing w:val="8"/>
          <w:sz w:val="20"/>
          <w:szCs w:val="20"/>
        </w:rPr>
        <w:t xml:space="preserve">6.  </w:t>
      </w:r>
      <w:r>
        <w:rPr>
          <w:spacing w:val="8"/>
          <w:sz w:val="20"/>
          <w:szCs w:val="20"/>
        </w:rPr>
        <w:t>现场核查结论判定原则：核查项目单项得分无</w:t>
      </w:r>
      <w:r>
        <w:rPr>
          <w:spacing w:val="-37"/>
          <w:sz w:val="20"/>
          <w:szCs w:val="20"/>
        </w:rPr>
        <w:t xml:space="preserve"> </w:t>
      </w:r>
      <w:r>
        <w:rPr>
          <w:rFonts w:ascii="Times New Roman" w:hAnsi="Times New Roman" w:eastAsia="Times New Roman" w:cs="Times New Roman"/>
          <w:spacing w:val="8"/>
          <w:sz w:val="20"/>
          <w:szCs w:val="20"/>
        </w:rPr>
        <w:t xml:space="preserve">0 </w:t>
      </w:r>
      <w:r>
        <w:rPr>
          <w:spacing w:val="8"/>
          <w:sz w:val="20"/>
          <w:szCs w:val="20"/>
        </w:rPr>
        <w:t>分且总得分率</w:t>
      </w:r>
      <w:r>
        <w:rPr>
          <w:rFonts w:ascii="Times New Roman" w:hAnsi="Times New Roman" w:eastAsia="Times New Roman" w:cs="Times New Roman"/>
          <w:spacing w:val="8"/>
          <w:sz w:val="20"/>
          <w:szCs w:val="20"/>
        </w:rPr>
        <w:t>≥85%</w:t>
      </w:r>
      <w:r>
        <w:rPr>
          <w:spacing w:val="8"/>
          <w:sz w:val="20"/>
          <w:szCs w:val="20"/>
        </w:rPr>
        <w:t>的，该类别名称及品种明</w:t>
      </w:r>
      <w:r>
        <w:rPr>
          <w:spacing w:val="7"/>
          <w:sz w:val="20"/>
          <w:szCs w:val="20"/>
        </w:rPr>
        <w:t>细判定为通过现场核查。</w:t>
      </w:r>
      <w:r>
        <w:rPr>
          <w:sz w:val="20"/>
          <w:szCs w:val="20"/>
        </w:rPr>
        <w:t xml:space="preserve"> </w:t>
      </w:r>
      <w:r>
        <w:rPr>
          <w:spacing w:val="9"/>
          <w:sz w:val="20"/>
          <w:szCs w:val="20"/>
        </w:rPr>
        <w:t>当出现以下两种情况之一时，该类别名称及品种</w:t>
      </w:r>
      <w:r>
        <w:rPr>
          <w:spacing w:val="8"/>
          <w:sz w:val="20"/>
          <w:szCs w:val="20"/>
        </w:rPr>
        <w:t>明细判定为未通过现场核查：</w:t>
      </w:r>
    </w:p>
    <w:p>
      <w:pPr>
        <w:pStyle w:val="2"/>
        <w:spacing w:before="157" w:line="225" w:lineRule="auto"/>
        <w:ind w:left="417"/>
        <w:rPr>
          <w:sz w:val="20"/>
          <w:szCs w:val="20"/>
        </w:rPr>
      </w:pPr>
      <w:r>
        <w:rPr>
          <w:spacing w:val="2"/>
          <w:sz w:val="20"/>
          <w:szCs w:val="20"/>
        </w:rPr>
        <w:t>（</w:t>
      </w:r>
      <w:r>
        <w:rPr>
          <w:spacing w:val="-34"/>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21"/>
          <w:sz w:val="20"/>
          <w:szCs w:val="20"/>
        </w:rPr>
        <w:t xml:space="preserve"> </w:t>
      </w:r>
      <w:r>
        <w:rPr>
          <w:spacing w:val="2"/>
          <w:sz w:val="20"/>
          <w:szCs w:val="20"/>
        </w:rPr>
        <w:t>）有一项及以上核查项目得</w:t>
      </w:r>
      <w:r>
        <w:rPr>
          <w:spacing w:val="-37"/>
          <w:sz w:val="20"/>
          <w:szCs w:val="20"/>
        </w:rPr>
        <w:t xml:space="preserve"> </w:t>
      </w:r>
      <w:r>
        <w:rPr>
          <w:rFonts w:ascii="Times New Roman" w:hAnsi="Times New Roman" w:eastAsia="Times New Roman" w:cs="Times New Roman"/>
          <w:spacing w:val="2"/>
          <w:sz w:val="20"/>
          <w:szCs w:val="20"/>
        </w:rPr>
        <w:t>0</w:t>
      </w:r>
      <w:r>
        <w:rPr>
          <w:rFonts w:ascii="Times New Roman" w:hAnsi="Times New Roman" w:eastAsia="Times New Roman" w:cs="Times New Roman"/>
          <w:spacing w:val="13"/>
          <w:w w:val="101"/>
          <w:sz w:val="20"/>
          <w:szCs w:val="20"/>
        </w:rPr>
        <w:t xml:space="preserve"> </w:t>
      </w:r>
      <w:r>
        <w:rPr>
          <w:spacing w:val="2"/>
          <w:sz w:val="20"/>
          <w:szCs w:val="20"/>
        </w:rPr>
        <w:t>分的；</w:t>
      </w:r>
    </w:p>
    <w:p>
      <w:pPr>
        <w:pStyle w:val="2"/>
        <w:spacing w:before="157" w:line="225" w:lineRule="auto"/>
        <w:ind w:left="417"/>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）核查项目总得分率＜</w:t>
      </w:r>
      <w:r>
        <w:rPr>
          <w:rFonts w:ascii="Times New Roman" w:hAnsi="Times New Roman" w:eastAsia="Times New Roman" w:cs="Times New Roman"/>
          <w:spacing w:val="8"/>
          <w:sz w:val="20"/>
          <w:szCs w:val="20"/>
        </w:rPr>
        <w:t>85%</w:t>
      </w:r>
      <w:r>
        <w:rPr>
          <w:spacing w:val="8"/>
          <w:sz w:val="20"/>
          <w:szCs w:val="20"/>
        </w:rPr>
        <w:t>的。</w:t>
      </w:r>
    </w:p>
    <w:p>
      <w:pPr>
        <w:pStyle w:val="2"/>
        <w:spacing w:before="156" w:line="223" w:lineRule="auto"/>
        <w:ind w:left="420"/>
        <w:rPr>
          <w:sz w:val="20"/>
          <w:szCs w:val="20"/>
        </w:rPr>
      </w:pPr>
      <w:r>
        <w:rPr>
          <w:rFonts w:ascii="Times New Roman" w:hAnsi="Times New Roman" w:eastAsia="Times New Roman" w:cs="Times New Roman"/>
          <w:spacing w:val="9"/>
          <w:sz w:val="20"/>
          <w:szCs w:val="20"/>
        </w:rPr>
        <w:t xml:space="preserve">7.  </w:t>
      </w:r>
      <w:r>
        <w:rPr>
          <w:spacing w:val="9"/>
          <w:sz w:val="20"/>
          <w:szCs w:val="20"/>
        </w:rPr>
        <w:t>某个核查项目不适用时，不参与评分，并</w:t>
      </w:r>
      <w:r>
        <w:rPr>
          <w:spacing w:val="8"/>
          <w:sz w:val="20"/>
          <w:szCs w:val="20"/>
        </w:rPr>
        <w:t>在</w:t>
      </w:r>
      <w:r>
        <w:rPr>
          <w:rFonts w:ascii="Times New Roman" w:hAnsi="Times New Roman" w:eastAsia="Times New Roman" w:cs="Times New Roman"/>
          <w:spacing w:val="8"/>
          <w:sz w:val="20"/>
          <w:szCs w:val="20"/>
        </w:rPr>
        <w:t>“</w:t>
      </w:r>
      <w:r>
        <w:rPr>
          <w:spacing w:val="8"/>
          <w:sz w:val="20"/>
          <w:szCs w:val="20"/>
        </w:rPr>
        <w:t>核查记录</w:t>
      </w:r>
      <w:r>
        <w:rPr>
          <w:rFonts w:ascii="Times New Roman" w:hAnsi="Times New Roman" w:eastAsia="Times New Roman" w:cs="Times New Roman"/>
          <w:spacing w:val="8"/>
          <w:sz w:val="20"/>
          <w:szCs w:val="20"/>
        </w:rPr>
        <w:t>”</w:t>
      </w:r>
      <w:r>
        <w:rPr>
          <w:spacing w:val="8"/>
          <w:sz w:val="20"/>
          <w:szCs w:val="20"/>
        </w:rPr>
        <w:t>栏目中说明不适用的原因。</w:t>
      </w:r>
    </w:p>
    <w:p>
      <w:pPr>
        <w:spacing w:line="223" w:lineRule="auto"/>
        <w:rPr>
          <w:sz w:val="20"/>
          <w:szCs w:val="20"/>
        </w:rPr>
        <w:sectPr>
          <w:footerReference r:id="rId53" w:type="default"/>
          <w:pgSz w:w="15840" w:h="12240"/>
          <w:pgMar w:top="1040" w:right="1394" w:bottom="897" w:left="1447" w:header="0" w:footer="723" w:gutter="0"/>
          <w:cols w:space="720" w:num="1"/>
        </w:sectPr>
      </w:pPr>
    </w:p>
    <w:p>
      <w:pPr>
        <w:spacing w:line="350" w:lineRule="auto"/>
        <w:rPr>
          <w:rFonts w:ascii="Arial"/>
          <w:sz w:val="21"/>
        </w:rPr>
      </w:pPr>
    </w:p>
    <w:p>
      <w:pPr>
        <w:spacing w:line="350" w:lineRule="auto"/>
        <w:rPr>
          <w:rFonts w:ascii="Arial"/>
          <w:sz w:val="21"/>
        </w:rPr>
      </w:pPr>
    </w:p>
    <w:p>
      <w:pPr>
        <w:spacing w:before="100" w:line="228" w:lineRule="auto"/>
        <w:ind w:left="5380"/>
        <w:outlineLvl w:val="0"/>
        <w:rPr>
          <w:rFonts w:ascii="黑体" w:hAnsi="黑体" w:eastAsia="黑体" w:cs="黑体"/>
          <w:sz w:val="31"/>
          <w:szCs w:val="31"/>
        </w:rPr>
      </w:pPr>
      <w:r>
        <w:rPr>
          <w:rFonts w:ascii="黑体" w:hAnsi="黑体" w:eastAsia="黑体" w:cs="黑体"/>
          <w:spacing w:val="4"/>
          <w:sz w:val="31"/>
          <w:szCs w:val="31"/>
        </w:rPr>
        <w:t>一、生产场所（共</w:t>
      </w:r>
      <w:r>
        <w:rPr>
          <w:rFonts w:ascii="黑体" w:hAnsi="黑体" w:eastAsia="黑体" w:cs="黑体"/>
          <w:spacing w:val="-65"/>
          <w:sz w:val="31"/>
          <w:szCs w:val="31"/>
        </w:rPr>
        <w:t xml:space="preserve"> </w:t>
      </w:r>
      <w:r>
        <w:rPr>
          <w:rFonts w:ascii="Times New Roman" w:hAnsi="Times New Roman" w:eastAsia="Times New Roman" w:cs="Times New Roman"/>
          <w:spacing w:val="4"/>
          <w:sz w:val="31"/>
          <w:szCs w:val="31"/>
        </w:rPr>
        <w:t>21</w:t>
      </w:r>
      <w:r>
        <w:rPr>
          <w:rFonts w:ascii="Times New Roman" w:hAnsi="Times New Roman" w:eastAsia="Times New Roman" w:cs="Times New Roman"/>
          <w:spacing w:val="23"/>
          <w:sz w:val="31"/>
          <w:szCs w:val="31"/>
        </w:rPr>
        <w:t xml:space="preserve"> </w:t>
      </w:r>
      <w:r>
        <w:rPr>
          <w:rFonts w:ascii="黑体" w:hAnsi="黑体" w:eastAsia="黑体" w:cs="黑体"/>
          <w:spacing w:val="4"/>
          <w:sz w:val="31"/>
          <w:szCs w:val="31"/>
        </w:rPr>
        <w:t>分）</w:t>
      </w:r>
    </w:p>
    <w:p>
      <w:pPr>
        <w:spacing w:line="91" w:lineRule="exact"/>
      </w:pPr>
    </w:p>
    <w:tbl>
      <w:tblPr>
        <w:tblStyle w:val="5"/>
        <w:tblW w:w="14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10"/>
        <w:gridCol w:w="4525"/>
        <w:gridCol w:w="4760"/>
        <w:gridCol w:w="566"/>
        <w:gridCol w:w="1499"/>
        <w:gridCol w:w="1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35" w:type="dxa"/>
            <w:textDirection w:val="tbRlV"/>
            <w:vAlign w:val="top"/>
          </w:tcPr>
          <w:p>
            <w:pPr>
              <w:spacing w:before="211" w:line="216" w:lineRule="auto"/>
              <w:ind w:left="35"/>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39"/>
                <w:sz w:val="20"/>
                <w:szCs w:val="20"/>
              </w:rPr>
              <w:t xml:space="preserve"> </w:t>
            </w:r>
            <w:r>
              <w:rPr>
                <w:rFonts w:ascii="黑体" w:hAnsi="黑体" w:eastAsia="黑体" w:cs="黑体"/>
                <w:spacing w:val="12"/>
                <w:sz w:val="20"/>
                <w:szCs w:val="20"/>
              </w:rPr>
              <w:t>号</w:t>
            </w:r>
          </w:p>
        </w:tc>
        <w:tc>
          <w:tcPr>
            <w:tcW w:w="810" w:type="dxa"/>
            <w:vAlign w:val="top"/>
          </w:tcPr>
          <w:p>
            <w:pPr>
              <w:spacing w:before="34" w:line="235" w:lineRule="auto"/>
              <w:ind w:left="196" w:right="19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5" w:type="dxa"/>
            <w:vAlign w:val="top"/>
          </w:tcPr>
          <w:p>
            <w:pPr>
              <w:spacing w:before="172" w:line="231" w:lineRule="auto"/>
              <w:ind w:left="1843"/>
              <w:rPr>
                <w:rFonts w:ascii="黑体" w:hAnsi="黑体" w:eastAsia="黑体" w:cs="黑体"/>
                <w:sz w:val="20"/>
                <w:szCs w:val="20"/>
              </w:rPr>
            </w:pPr>
            <w:r>
              <w:rPr>
                <w:rFonts w:ascii="黑体" w:hAnsi="黑体" w:eastAsia="黑体" w:cs="黑体"/>
                <w:spacing w:val="7"/>
                <w:sz w:val="20"/>
                <w:szCs w:val="20"/>
              </w:rPr>
              <w:t>核查内容</w:t>
            </w:r>
          </w:p>
        </w:tc>
        <w:tc>
          <w:tcPr>
            <w:tcW w:w="5326" w:type="dxa"/>
            <w:gridSpan w:val="2"/>
            <w:vAlign w:val="top"/>
          </w:tcPr>
          <w:p>
            <w:pPr>
              <w:spacing w:before="172" w:line="230" w:lineRule="auto"/>
              <w:ind w:left="2248"/>
              <w:rPr>
                <w:rFonts w:ascii="黑体" w:hAnsi="黑体" w:eastAsia="黑体" w:cs="黑体"/>
                <w:sz w:val="20"/>
                <w:szCs w:val="20"/>
              </w:rPr>
            </w:pPr>
            <w:r>
              <w:rPr>
                <w:rFonts w:ascii="黑体" w:hAnsi="黑体" w:eastAsia="黑体" w:cs="黑体"/>
                <w:spacing w:val="7"/>
                <w:sz w:val="20"/>
                <w:szCs w:val="20"/>
              </w:rPr>
              <w:t>评分标准</w:t>
            </w:r>
          </w:p>
        </w:tc>
        <w:tc>
          <w:tcPr>
            <w:tcW w:w="1499" w:type="dxa"/>
            <w:vAlign w:val="top"/>
          </w:tcPr>
          <w:p>
            <w:pPr>
              <w:spacing w:before="172" w:line="231" w:lineRule="auto"/>
              <w:ind w:left="334"/>
              <w:rPr>
                <w:rFonts w:ascii="黑体" w:hAnsi="黑体" w:eastAsia="黑体" w:cs="黑体"/>
                <w:sz w:val="20"/>
                <w:szCs w:val="20"/>
              </w:rPr>
            </w:pPr>
            <w:r>
              <w:rPr>
                <w:rFonts w:ascii="黑体" w:hAnsi="黑体" w:eastAsia="黑体" w:cs="黑体"/>
                <w:spacing w:val="7"/>
                <w:sz w:val="20"/>
                <w:szCs w:val="20"/>
              </w:rPr>
              <w:t>核查得分</w:t>
            </w:r>
          </w:p>
        </w:tc>
        <w:tc>
          <w:tcPr>
            <w:tcW w:w="1583" w:type="dxa"/>
            <w:vAlign w:val="top"/>
          </w:tcPr>
          <w:p>
            <w:pPr>
              <w:spacing w:before="172" w:line="230" w:lineRule="auto"/>
              <w:ind w:left="37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p>
        </w:tc>
        <w:tc>
          <w:tcPr>
            <w:tcW w:w="810"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41" w:lineRule="auto"/>
              <w:ind w:left="206" w:right="198" w:hanging="4"/>
            </w:pPr>
            <w:r>
              <w:rPr>
                <w:spacing w:val="2"/>
              </w:rPr>
              <w:t>厂区</w:t>
            </w:r>
            <w:r>
              <w:t xml:space="preserve"> </w:t>
            </w:r>
            <w:r>
              <w:rPr>
                <w:spacing w:val="-1"/>
              </w:rPr>
              <w:t>要求</w:t>
            </w:r>
          </w:p>
        </w:tc>
        <w:tc>
          <w:tcPr>
            <w:tcW w:w="4525" w:type="dxa"/>
            <w:vMerge w:val="restart"/>
            <w:tcBorders>
              <w:bottom w:val="nil"/>
            </w:tcBorders>
            <w:vAlign w:val="top"/>
          </w:tcPr>
          <w:p>
            <w:pPr>
              <w:spacing w:line="282" w:lineRule="auto"/>
              <w:rPr>
                <w:rFonts w:ascii="Arial"/>
                <w:sz w:val="21"/>
              </w:rPr>
            </w:pPr>
          </w:p>
          <w:p>
            <w:pPr>
              <w:pStyle w:val="6"/>
              <w:spacing w:before="65" w:line="248" w:lineRule="auto"/>
              <w:ind w:left="116" w:right="108" w:firstLine="11"/>
            </w:pPr>
            <w:r>
              <w:rPr>
                <w:rFonts w:ascii="Times New Roman" w:hAnsi="Times New Roman" w:eastAsia="Times New Roman" w:cs="Times New Roman"/>
                <w:spacing w:val="8"/>
              </w:rPr>
              <w:t>1.</w:t>
            </w:r>
            <w:r>
              <w:rPr>
                <w:spacing w:val="8"/>
              </w:rPr>
              <w:t>厂区不应选择对食品添加剂有显著污染的区</w:t>
            </w:r>
            <w:r>
              <w:t xml:space="preserve">  </w:t>
            </w:r>
            <w:r>
              <w:rPr>
                <w:spacing w:val="4"/>
              </w:rPr>
              <w:t>域。厂区周围无虫害大量孳生的潜在场所，无有</w:t>
            </w:r>
            <w:r>
              <w:rPr>
                <w:spacing w:val="10"/>
              </w:rPr>
              <w:t xml:space="preserve"> </w:t>
            </w:r>
            <w:r>
              <w:rPr>
                <w:spacing w:val="4"/>
              </w:rPr>
              <w:t>害废弃物以及粉尘、有害气体、放射性物质和其</w:t>
            </w:r>
            <w:r>
              <w:rPr>
                <w:spacing w:val="9"/>
              </w:rPr>
              <w:t xml:space="preserve"> </w:t>
            </w:r>
            <w:r>
              <w:rPr>
                <w:spacing w:val="4"/>
              </w:rPr>
              <w:t>他扩散性污染源。各类污染源难以避开时应当有</w:t>
            </w:r>
            <w:r>
              <w:rPr>
                <w:spacing w:val="9"/>
              </w:rPr>
              <w:t xml:space="preserve"> 必要的防范措施，能有效清除污染源造成的影</w:t>
            </w:r>
            <w:r>
              <w:rPr>
                <w:spacing w:val="1"/>
              </w:rPr>
              <w:t xml:space="preserve">  </w:t>
            </w:r>
            <w:r>
              <w:rPr>
                <w:spacing w:val="4"/>
              </w:rPr>
              <w:t>响。现场提供的《食品添加剂生产加工场所周围</w:t>
            </w:r>
            <w:r>
              <w:rPr>
                <w:spacing w:val="9"/>
              </w:rPr>
              <w:t xml:space="preserve"> </w:t>
            </w:r>
            <w:r>
              <w:rPr>
                <w:spacing w:val="7"/>
              </w:rPr>
              <w:t>环境平面图》与实际一致。</w:t>
            </w:r>
          </w:p>
        </w:tc>
        <w:tc>
          <w:tcPr>
            <w:tcW w:w="4760" w:type="dxa"/>
            <w:vAlign w:val="top"/>
          </w:tcPr>
          <w:p>
            <w:pPr>
              <w:pStyle w:val="6"/>
              <w:spacing w:before="65" w:line="229" w:lineRule="auto"/>
              <w:ind w:left="124"/>
            </w:pPr>
            <w:r>
              <w:rPr>
                <w:spacing w:val="5"/>
              </w:rPr>
              <w:t>符合规定要求。</w:t>
            </w:r>
          </w:p>
        </w:tc>
        <w:tc>
          <w:tcPr>
            <w:tcW w:w="566" w:type="dxa"/>
            <w:vAlign w:val="top"/>
          </w:tcPr>
          <w:p>
            <w:pPr>
              <w:spacing w:before="100"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bottom w:val="nil"/>
            </w:tcBorders>
            <w:vAlign w:val="top"/>
          </w:tcPr>
          <w:p>
            <w:pPr>
              <w:rPr>
                <w:rFonts w:ascii="Arial"/>
                <w:sz w:val="21"/>
              </w:rPr>
            </w:pPr>
          </w:p>
        </w:tc>
        <w:tc>
          <w:tcPr>
            <w:tcW w:w="4760" w:type="dxa"/>
            <w:vAlign w:val="top"/>
          </w:tcPr>
          <w:p>
            <w:pPr>
              <w:pStyle w:val="6"/>
              <w:spacing w:before="30" w:line="245" w:lineRule="auto"/>
              <w:ind w:left="118" w:right="106" w:firstLine="11"/>
              <w:jc w:val="both"/>
            </w:pPr>
            <w:r>
              <w:rPr>
                <w:rFonts w:ascii="Times New Roman" w:hAnsi="Times New Roman" w:eastAsia="Times New Roman" w:cs="Times New Roman"/>
                <w:spacing w:val="7"/>
              </w:rPr>
              <w:t>1.</w:t>
            </w:r>
            <w:r>
              <w:rPr>
                <w:spacing w:val="7"/>
              </w:rPr>
              <w:t>对厂区周边的污染源有相应的识别、防范或清除</w:t>
            </w:r>
            <w:r>
              <w:rPr>
                <w:spacing w:val="6"/>
              </w:rPr>
              <w:t xml:space="preserve"> 措施，但个别措施效果不明显，可通过改善</w:t>
            </w:r>
            <w:r>
              <w:rPr>
                <w:spacing w:val="5"/>
              </w:rPr>
              <w:t>防范措</w:t>
            </w:r>
            <w:r>
              <w:t xml:space="preserve"> </w:t>
            </w:r>
            <w:r>
              <w:rPr>
                <w:spacing w:val="8"/>
              </w:rPr>
              <w:t>施有效清除污染源造成的影响。</w:t>
            </w:r>
          </w:p>
          <w:p>
            <w:pPr>
              <w:pStyle w:val="6"/>
              <w:spacing w:before="21" w:line="217" w:lineRule="auto"/>
              <w:ind w:left="109"/>
            </w:pPr>
            <w:r>
              <w:rPr>
                <w:rFonts w:ascii="Times New Roman" w:hAnsi="Times New Roman" w:eastAsia="Times New Roman" w:cs="Times New Roman"/>
                <w:spacing w:val="8"/>
              </w:rPr>
              <w:t>2.</w:t>
            </w:r>
            <w:r>
              <w:rPr>
                <w:spacing w:val="8"/>
              </w:rPr>
              <w:t>现场提供的平面图与实际不一致。</w:t>
            </w:r>
          </w:p>
        </w:tc>
        <w:tc>
          <w:tcPr>
            <w:tcW w:w="566" w:type="dxa"/>
            <w:vAlign w:val="top"/>
          </w:tcPr>
          <w:p>
            <w:pPr>
              <w:spacing w:line="415" w:lineRule="auto"/>
              <w:rPr>
                <w:rFonts w:ascii="Arial"/>
                <w:sz w:val="21"/>
              </w:rPr>
            </w:pPr>
          </w:p>
          <w:p>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32" w:line="242" w:lineRule="auto"/>
              <w:ind w:left="128" w:right="106"/>
            </w:pPr>
            <w:r>
              <w:rPr>
                <w:rFonts w:ascii="Times New Roman" w:hAnsi="Times New Roman" w:eastAsia="Times New Roman" w:cs="Times New Roman"/>
                <w:spacing w:val="7"/>
              </w:rPr>
              <w:t>1.</w:t>
            </w:r>
            <w:r>
              <w:rPr>
                <w:spacing w:val="7"/>
              </w:rPr>
              <w:t>未对厂区周边的污染源进行识别、防范或采取清</w:t>
            </w:r>
            <w:r>
              <w:rPr>
                <w:spacing w:val="6"/>
              </w:rPr>
              <w:t xml:space="preserve"> </w:t>
            </w:r>
            <w:r>
              <w:rPr>
                <w:spacing w:val="1"/>
              </w:rPr>
              <w:t>除措施。</w:t>
            </w:r>
          </w:p>
          <w:p>
            <w:pPr>
              <w:pStyle w:val="6"/>
              <w:spacing w:before="21" w:line="233" w:lineRule="auto"/>
              <w:ind w:left="132" w:right="106" w:hanging="23"/>
            </w:pPr>
            <w:r>
              <w:rPr>
                <w:rFonts w:ascii="Times New Roman" w:hAnsi="Times New Roman" w:eastAsia="Times New Roman" w:cs="Times New Roman"/>
                <w:spacing w:val="8"/>
              </w:rPr>
              <w:t>2.</w:t>
            </w:r>
            <w:r>
              <w:rPr>
                <w:spacing w:val="8"/>
              </w:rPr>
              <w:t>虽然识别了厂区周边的污染源，但采取的污染源</w:t>
            </w:r>
            <w:r>
              <w:rPr>
                <w:spacing w:val="3"/>
              </w:rPr>
              <w:t xml:space="preserve"> </w:t>
            </w:r>
            <w:r>
              <w:rPr>
                <w:spacing w:val="6"/>
              </w:rPr>
              <w:t>防范或清除措施无效果。</w:t>
            </w:r>
          </w:p>
        </w:tc>
        <w:tc>
          <w:tcPr>
            <w:tcW w:w="566" w:type="dxa"/>
            <w:vAlign w:val="top"/>
          </w:tcPr>
          <w:p>
            <w:pPr>
              <w:spacing w:line="416" w:lineRule="auto"/>
              <w:rPr>
                <w:rFonts w:ascii="Arial"/>
                <w:sz w:val="21"/>
              </w:rPr>
            </w:pPr>
          </w:p>
          <w:p>
            <w:pPr>
              <w:spacing w:before="57"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restart"/>
            <w:tcBorders>
              <w:bottom w:val="nil"/>
            </w:tcBorders>
            <w:vAlign w:val="top"/>
          </w:tcPr>
          <w:p>
            <w:pPr>
              <w:spacing w:line="421" w:lineRule="auto"/>
              <w:rPr>
                <w:rFonts w:ascii="Arial"/>
                <w:sz w:val="21"/>
              </w:rPr>
            </w:pPr>
          </w:p>
          <w:p>
            <w:pPr>
              <w:pStyle w:val="6"/>
              <w:spacing w:before="65" w:line="248" w:lineRule="auto"/>
              <w:ind w:left="118" w:right="108" w:hanging="10"/>
              <w:jc w:val="both"/>
            </w:pPr>
            <w:r>
              <w:rPr>
                <w:rFonts w:ascii="Times New Roman" w:hAnsi="Times New Roman" w:eastAsia="Times New Roman" w:cs="Times New Roman"/>
                <w:spacing w:val="7"/>
              </w:rPr>
              <w:t>2.</w:t>
            </w:r>
            <w:r>
              <w:rPr>
                <w:spacing w:val="7"/>
              </w:rPr>
              <w:t>厂区环境整洁，无扬尘或积水现象。各功</w:t>
            </w:r>
            <w:r>
              <w:rPr>
                <w:spacing w:val="6"/>
              </w:rPr>
              <w:t>能区</w:t>
            </w:r>
            <w:r>
              <w:t xml:space="preserve"> </w:t>
            </w:r>
            <w:r>
              <w:rPr>
                <w:spacing w:val="4"/>
              </w:rPr>
              <w:t>划分明显，布局合理。现场提供的《食品添加剂</w:t>
            </w:r>
            <w:r>
              <w:rPr>
                <w:spacing w:val="8"/>
              </w:rPr>
              <w:t xml:space="preserve"> </w:t>
            </w:r>
            <w:r>
              <w:rPr>
                <w:spacing w:val="4"/>
              </w:rPr>
              <w:t>生产加工场所平面图》与实际一致。生活区与生</w:t>
            </w:r>
            <w:r>
              <w:rPr>
                <w:spacing w:val="8"/>
              </w:rPr>
              <w:t xml:space="preserve"> </w:t>
            </w:r>
            <w:r>
              <w:rPr>
                <w:spacing w:val="4"/>
              </w:rPr>
              <w:t>产区保持适当距离或分隔，防止交叉污染。厂区</w:t>
            </w:r>
            <w:r>
              <w:rPr>
                <w:spacing w:val="8"/>
              </w:rPr>
              <w:t xml:space="preserve"> </w:t>
            </w:r>
            <w:r>
              <w:rPr>
                <w:spacing w:val="4"/>
              </w:rPr>
              <w:t>道路应当采用硬质材料铺设。厂区绿化应当与生</w:t>
            </w:r>
            <w:r>
              <w:rPr>
                <w:spacing w:val="8"/>
              </w:rPr>
              <w:t xml:space="preserve"> </w:t>
            </w:r>
            <w:r>
              <w:rPr>
                <w:spacing w:val="4"/>
              </w:rPr>
              <w:t>产车间保持适当距离，植被应当定期维护，防止</w:t>
            </w:r>
            <w:r>
              <w:rPr>
                <w:spacing w:val="8"/>
              </w:rPr>
              <w:t xml:space="preserve"> </w:t>
            </w:r>
            <w:r>
              <w:rPr>
                <w:spacing w:val="4"/>
              </w:rPr>
              <w:t>虫害孳生。</w:t>
            </w:r>
          </w:p>
        </w:tc>
        <w:tc>
          <w:tcPr>
            <w:tcW w:w="4760" w:type="dxa"/>
            <w:vAlign w:val="top"/>
          </w:tcPr>
          <w:p>
            <w:pPr>
              <w:pStyle w:val="6"/>
              <w:spacing w:before="67" w:line="229" w:lineRule="auto"/>
              <w:ind w:left="124"/>
            </w:pPr>
            <w:r>
              <w:rPr>
                <w:spacing w:val="5"/>
              </w:rPr>
              <w:t>符合规定要求。</w:t>
            </w:r>
          </w:p>
        </w:tc>
        <w:tc>
          <w:tcPr>
            <w:tcW w:w="566" w:type="dxa"/>
            <w:vAlign w:val="top"/>
          </w:tcPr>
          <w:p>
            <w:pPr>
              <w:spacing w:before="103"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bottom w:val="nil"/>
            </w:tcBorders>
            <w:vAlign w:val="top"/>
          </w:tcPr>
          <w:p>
            <w:pPr>
              <w:rPr>
                <w:rFonts w:ascii="Arial"/>
                <w:sz w:val="21"/>
              </w:rPr>
            </w:pPr>
          </w:p>
        </w:tc>
        <w:tc>
          <w:tcPr>
            <w:tcW w:w="4760" w:type="dxa"/>
            <w:vAlign w:val="top"/>
          </w:tcPr>
          <w:p>
            <w:pPr>
              <w:pStyle w:val="6"/>
              <w:spacing w:before="35" w:line="239" w:lineRule="auto"/>
              <w:ind w:left="118" w:right="106" w:firstLine="11"/>
            </w:pPr>
            <w:r>
              <w:rPr>
                <w:rFonts w:ascii="Times New Roman" w:hAnsi="Times New Roman" w:eastAsia="Times New Roman" w:cs="Times New Roman"/>
                <w:spacing w:val="7"/>
              </w:rPr>
              <w:t>1.</w:t>
            </w:r>
            <w:r>
              <w:rPr>
                <w:spacing w:val="7"/>
              </w:rPr>
              <w:t>厂区环境、布局、功能区划分、绿化带位置及维</w:t>
            </w:r>
            <w:r>
              <w:rPr>
                <w:spacing w:val="6"/>
              </w:rPr>
              <w:t xml:space="preserve"> </w:t>
            </w:r>
            <w:r>
              <w:rPr>
                <w:spacing w:val="8"/>
              </w:rPr>
              <w:t>护等略有不足，检查时未发现明显的污染现象。</w:t>
            </w:r>
          </w:p>
          <w:p>
            <w:pPr>
              <w:pStyle w:val="6"/>
              <w:spacing w:before="25" w:line="214" w:lineRule="auto"/>
              <w:ind w:left="109"/>
            </w:pPr>
            <w:r>
              <w:rPr>
                <w:rFonts w:ascii="Times New Roman" w:hAnsi="Times New Roman" w:eastAsia="Times New Roman" w:cs="Times New Roman"/>
                <w:spacing w:val="8"/>
              </w:rPr>
              <w:t>2.</w:t>
            </w:r>
            <w:r>
              <w:rPr>
                <w:spacing w:val="8"/>
              </w:rPr>
              <w:t>现场提供的平面图与实际不一致。</w:t>
            </w:r>
          </w:p>
        </w:tc>
        <w:tc>
          <w:tcPr>
            <w:tcW w:w="566" w:type="dxa"/>
            <w:vAlign w:val="top"/>
          </w:tcPr>
          <w:p>
            <w:pPr>
              <w:spacing w:line="282" w:lineRule="auto"/>
              <w:rPr>
                <w:rFonts w:ascii="Arial"/>
                <w:sz w:val="21"/>
              </w:rPr>
            </w:pPr>
          </w:p>
          <w:p>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635"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36" w:line="231" w:lineRule="auto"/>
              <w:ind w:left="129"/>
            </w:pPr>
            <w:r>
              <w:rPr>
                <w:rFonts w:ascii="Times New Roman" w:hAnsi="Times New Roman" w:eastAsia="Times New Roman" w:cs="Times New Roman"/>
                <w:spacing w:val="5"/>
              </w:rPr>
              <w:t>1.</w:t>
            </w:r>
            <w:r>
              <w:rPr>
                <w:spacing w:val="5"/>
              </w:rPr>
              <w:t>厂区环境不整洁。</w:t>
            </w:r>
          </w:p>
          <w:p>
            <w:pPr>
              <w:pStyle w:val="6"/>
              <w:spacing w:before="21" w:line="228" w:lineRule="auto"/>
              <w:ind w:left="109"/>
            </w:pPr>
            <w:r>
              <w:rPr>
                <w:rFonts w:ascii="Times New Roman" w:hAnsi="Times New Roman" w:eastAsia="Times New Roman" w:cs="Times New Roman"/>
                <w:spacing w:val="8"/>
              </w:rPr>
              <w:t>2.</w:t>
            </w:r>
            <w:r>
              <w:rPr>
                <w:spacing w:val="8"/>
              </w:rPr>
              <w:t>厂区布局不合理，存在交叉污染现象。</w:t>
            </w:r>
          </w:p>
          <w:p>
            <w:pPr>
              <w:pStyle w:val="6"/>
              <w:spacing w:before="23" w:line="242" w:lineRule="auto"/>
              <w:ind w:left="119" w:right="106" w:hanging="6"/>
            </w:pPr>
            <w:r>
              <w:rPr>
                <w:rFonts w:ascii="Times New Roman" w:hAnsi="Times New Roman" w:eastAsia="Times New Roman" w:cs="Times New Roman"/>
                <w:spacing w:val="7"/>
              </w:rPr>
              <w:t>3.</w:t>
            </w:r>
            <w:r>
              <w:rPr>
                <w:rFonts w:ascii="Times New Roman" w:hAnsi="Times New Roman" w:eastAsia="Times New Roman" w:cs="Times New Roman"/>
                <w:spacing w:val="-24"/>
              </w:rPr>
              <w:t xml:space="preserve"> </w:t>
            </w:r>
            <w:r>
              <w:rPr>
                <w:spacing w:val="7"/>
              </w:rPr>
              <w:t>生活区与生产区未保持适当距离或分隔</w:t>
            </w:r>
            <w:r>
              <w:rPr>
                <w:spacing w:val="6"/>
              </w:rPr>
              <w:t>，存在交</w:t>
            </w:r>
            <w:r>
              <w:t xml:space="preserve"> </w:t>
            </w:r>
            <w:r>
              <w:rPr>
                <w:spacing w:val="5"/>
              </w:rPr>
              <w:t>叉污染风险。</w:t>
            </w:r>
          </w:p>
          <w:p>
            <w:pPr>
              <w:pStyle w:val="6"/>
              <w:spacing w:before="21" w:line="233" w:lineRule="auto"/>
              <w:ind w:left="130" w:right="106" w:hanging="22"/>
            </w:pPr>
            <w:r>
              <w:rPr>
                <w:rFonts w:ascii="Times New Roman" w:hAnsi="Times New Roman" w:eastAsia="Times New Roman" w:cs="Times New Roman"/>
                <w:spacing w:val="8"/>
              </w:rPr>
              <w:t>4.</w:t>
            </w:r>
            <w:r>
              <w:rPr>
                <w:spacing w:val="8"/>
              </w:rPr>
              <w:t>绿化带紧邻车间、仓库，有虫害大量孳生和侵入</w:t>
            </w:r>
            <w:r>
              <w:rPr>
                <w:spacing w:val="4"/>
              </w:rPr>
              <w:t xml:space="preserve"> </w:t>
            </w:r>
            <w:r>
              <w:rPr>
                <w:spacing w:val="8"/>
              </w:rPr>
              <w:t>生产场所的现象，存在较为严重的污染风险。</w:t>
            </w:r>
          </w:p>
        </w:tc>
        <w:tc>
          <w:tcPr>
            <w:tcW w:w="566" w:type="dxa"/>
            <w:vAlign w:val="top"/>
          </w:tcPr>
          <w:p>
            <w:pPr>
              <w:spacing w:line="344" w:lineRule="auto"/>
              <w:rPr>
                <w:rFonts w:ascii="Arial"/>
                <w:sz w:val="21"/>
              </w:rPr>
            </w:pPr>
          </w:p>
          <w:p>
            <w:pPr>
              <w:spacing w:line="345" w:lineRule="auto"/>
              <w:rPr>
                <w:rFonts w:ascii="Arial"/>
                <w:sz w:val="21"/>
              </w:rPr>
            </w:pPr>
          </w:p>
          <w:p>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1.2</w:t>
            </w:r>
          </w:p>
        </w:tc>
        <w:tc>
          <w:tcPr>
            <w:tcW w:w="810" w:type="dxa"/>
            <w:vMerge w:val="restart"/>
            <w:tcBorders>
              <w:bottom w:val="nil"/>
            </w:tcBorders>
            <w:vAlign w:val="top"/>
          </w:tcPr>
          <w:p>
            <w:pPr>
              <w:spacing w:line="293" w:lineRule="auto"/>
              <w:rPr>
                <w:rFonts w:ascii="Arial"/>
                <w:sz w:val="21"/>
              </w:rPr>
            </w:pPr>
          </w:p>
          <w:p>
            <w:pPr>
              <w:spacing w:line="293" w:lineRule="auto"/>
              <w:rPr>
                <w:rFonts w:ascii="Arial"/>
                <w:sz w:val="21"/>
              </w:rPr>
            </w:pPr>
          </w:p>
          <w:p>
            <w:pPr>
              <w:pStyle w:val="6"/>
              <w:spacing w:before="65" w:line="233" w:lineRule="auto"/>
              <w:ind w:left="202"/>
            </w:pPr>
            <w:r>
              <w:rPr>
                <w:spacing w:val="2"/>
              </w:rPr>
              <w:t>厂房</w:t>
            </w:r>
          </w:p>
          <w:p>
            <w:pPr>
              <w:pStyle w:val="6"/>
              <w:spacing w:before="21" w:line="228" w:lineRule="auto"/>
              <w:ind w:left="202"/>
            </w:pPr>
            <w:r>
              <w:rPr>
                <w:spacing w:val="2"/>
              </w:rPr>
              <w:t>和车</w:t>
            </w:r>
          </w:p>
          <w:p>
            <w:pPr>
              <w:pStyle w:val="6"/>
              <w:spacing w:before="23" w:line="232" w:lineRule="auto"/>
              <w:ind w:left="328"/>
            </w:pPr>
            <w:r>
              <w:t>间</w:t>
            </w:r>
          </w:p>
        </w:tc>
        <w:tc>
          <w:tcPr>
            <w:tcW w:w="4525" w:type="dxa"/>
            <w:vMerge w:val="restart"/>
            <w:tcBorders>
              <w:bottom w:val="nil"/>
            </w:tcBorders>
            <w:vAlign w:val="top"/>
          </w:tcPr>
          <w:p>
            <w:pPr>
              <w:pStyle w:val="6"/>
              <w:spacing w:before="126" w:line="248" w:lineRule="auto"/>
              <w:ind w:left="117" w:right="108" w:firstLine="10"/>
              <w:jc w:val="both"/>
            </w:pPr>
            <w:r>
              <w:rPr>
                <w:rFonts w:ascii="Times New Roman" w:hAnsi="Times New Roman" w:eastAsia="Times New Roman" w:cs="Times New Roman"/>
                <w:spacing w:val="6"/>
              </w:rPr>
              <w:t>1.</w:t>
            </w:r>
            <w:r>
              <w:rPr>
                <w:spacing w:val="6"/>
              </w:rPr>
              <w:t>应当具有与生产和研发的产品品种、数量相适</w:t>
            </w:r>
            <w:r>
              <w:t xml:space="preserve"> </w:t>
            </w:r>
            <w:r>
              <w:rPr>
                <w:spacing w:val="4"/>
              </w:rPr>
              <w:t>应的厂房和车间，并根据生产工艺及清洁程度的</w:t>
            </w:r>
            <w:r>
              <w:rPr>
                <w:spacing w:val="9"/>
              </w:rPr>
              <w:t xml:space="preserve"> </w:t>
            </w:r>
            <w:r>
              <w:rPr>
                <w:spacing w:val="4"/>
              </w:rPr>
              <w:t>要求合理布局和划分作业区，避免交叉污染；厂</w:t>
            </w:r>
            <w:r>
              <w:rPr>
                <w:spacing w:val="9"/>
              </w:rPr>
              <w:t xml:space="preserve"> </w:t>
            </w:r>
            <w:r>
              <w:rPr>
                <w:spacing w:val="4"/>
              </w:rPr>
              <w:t>房内设置的检验室应当与生产区域分隔。现场提</w:t>
            </w:r>
            <w:r>
              <w:rPr>
                <w:spacing w:val="9"/>
              </w:rPr>
              <w:t xml:space="preserve"> </w:t>
            </w:r>
            <w:r>
              <w:rPr>
                <w:spacing w:val="4"/>
              </w:rPr>
              <w:t>供的《食品添加剂生产加工场所各功能区间布局</w:t>
            </w:r>
            <w:r>
              <w:rPr>
                <w:spacing w:val="9"/>
              </w:rPr>
              <w:t xml:space="preserve"> </w:t>
            </w:r>
            <w:r>
              <w:rPr>
                <w:spacing w:val="7"/>
              </w:rPr>
              <w:t>平面图》与实际一致。</w:t>
            </w:r>
          </w:p>
        </w:tc>
        <w:tc>
          <w:tcPr>
            <w:tcW w:w="4760" w:type="dxa"/>
            <w:vAlign w:val="top"/>
          </w:tcPr>
          <w:p>
            <w:pPr>
              <w:pStyle w:val="6"/>
              <w:spacing w:before="67" w:line="229" w:lineRule="auto"/>
              <w:ind w:left="124"/>
            </w:pPr>
            <w:r>
              <w:rPr>
                <w:spacing w:val="5"/>
              </w:rPr>
              <w:t>符合规定要求。</w:t>
            </w:r>
          </w:p>
        </w:tc>
        <w:tc>
          <w:tcPr>
            <w:tcW w:w="566" w:type="dxa"/>
            <w:vAlign w:val="top"/>
          </w:tcPr>
          <w:p>
            <w:pPr>
              <w:spacing w:before="105"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bottom w:val="nil"/>
            </w:tcBorders>
            <w:vAlign w:val="top"/>
          </w:tcPr>
          <w:p>
            <w:pPr>
              <w:rPr>
                <w:rFonts w:ascii="Arial"/>
                <w:sz w:val="21"/>
              </w:rPr>
            </w:pPr>
          </w:p>
        </w:tc>
        <w:tc>
          <w:tcPr>
            <w:tcW w:w="4760" w:type="dxa"/>
            <w:vAlign w:val="top"/>
          </w:tcPr>
          <w:p>
            <w:pPr>
              <w:pStyle w:val="6"/>
              <w:spacing w:before="33" w:line="242" w:lineRule="auto"/>
              <w:ind w:left="123" w:right="106" w:firstLine="6"/>
            </w:pPr>
            <w:r>
              <w:rPr>
                <w:rFonts w:ascii="Times New Roman" w:hAnsi="Times New Roman" w:eastAsia="Times New Roman" w:cs="Times New Roman"/>
                <w:spacing w:val="7"/>
              </w:rPr>
              <w:t>1.</w:t>
            </w:r>
            <w:r>
              <w:rPr>
                <w:spacing w:val="7"/>
              </w:rPr>
              <w:t>作业区布局和划分存在轻微缺陷。现场提供的平</w:t>
            </w:r>
            <w:r>
              <w:rPr>
                <w:spacing w:val="6"/>
              </w:rPr>
              <w:t xml:space="preserve"> 面图与实际不一致。</w:t>
            </w:r>
          </w:p>
          <w:p>
            <w:pPr>
              <w:pStyle w:val="6"/>
              <w:spacing w:before="21" w:line="229" w:lineRule="auto"/>
              <w:ind w:left="109"/>
            </w:pPr>
            <w:r>
              <w:rPr>
                <w:rFonts w:ascii="Times New Roman" w:hAnsi="Times New Roman" w:eastAsia="Times New Roman" w:cs="Times New Roman"/>
                <w:spacing w:val="8"/>
              </w:rPr>
              <w:t>2.</w:t>
            </w:r>
            <w:r>
              <w:rPr>
                <w:spacing w:val="8"/>
              </w:rPr>
              <w:t>厂区各区域及设施的标志不符合要求。</w:t>
            </w:r>
          </w:p>
          <w:p>
            <w:pPr>
              <w:pStyle w:val="6"/>
              <w:spacing w:before="24" w:line="232" w:lineRule="auto"/>
              <w:ind w:left="131" w:right="106" w:hanging="18"/>
            </w:pPr>
            <w:r>
              <w:rPr>
                <w:rFonts w:ascii="Times New Roman" w:hAnsi="Times New Roman" w:eastAsia="Times New Roman" w:cs="Times New Roman"/>
                <w:spacing w:val="8"/>
              </w:rPr>
              <w:t>3.</w:t>
            </w:r>
            <w:r>
              <w:rPr>
                <w:spacing w:val="8"/>
              </w:rPr>
              <w:t>使用、贮存危险化学品场所的警示标志和警示说</w:t>
            </w:r>
            <w:r>
              <w:t xml:space="preserve"> </w:t>
            </w:r>
            <w:r>
              <w:rPr>
                <w:spacing w:val="4"/>
              </w:rPr>
              <w:t>明不符合要求。</w:t>
            </w:r>
          </w:p>
        </w:tc>
        <w:tc>
          <w:tcPr>
            <w:tcW w:w="566" w:type="dxa"/>
            <w:vAlign w:val="top"/>
          </w:tcPr>
          <w:p>
            <w:pPr>
              <w:spacing w:line="277" w:lineRule="auto"/>
              <w:rPr>
                <w:rFonts w:ascii="Arial"/>
                <w:sz w:val="21"/>
              </w:rPr>
            </w:pPr>
          </w:p>
          <w:p>
            <w:pPr>
              <w:spacing w:line="277" w:lineRule="auto"/>
              <w:rPr>
                <w:rFonts w:ascii="Arial"/>
                <w:sz w:val="21"/>
              </w:rPr>
            </w:pPr>
          </w:p>
          <w:p>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5"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70" w:line="228" w:lineRule="auto"/>
              <w:ind w:left="129"/>
            </w:pPr>
            <w:r>
              <w:rPr>
                <w:rFonts w:ascii="Times New Roman" w:hAnsi="Times New Roman" w:eastAsia="Times New Roman" w:cs="Times New Roman"/>
                <w:spacing w:val="7"/>
              </w:rPr>
              <w:t>1.</w:t>
            </w:r>
            <w:r>
              <w:rPr>
                <w:spacing w:val="7"/>
              </w:rPr>
              <w:t>厂房和车间的种类、数量以及厂房面积与空间不</w:t>
            </w:r>
          </w:p>
        </w:tc>
        <w:tc>
          <w:tcPr>
            <w:tcW w:w="566" w:type="dxa"/>
            <w:vAlign w:val="top"/>
          </w:tcPr>
          <w:p>
            <w:pPr>
              <w:spacing w:before="106"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4" w:type="default"/>
          <w:pgSz w:w="15840" w:h="12240"/>
          <w:pgMar w:top="1040" w:right="418" w:bottom="897" w:left="1038" w:header="0" w:footer="723" w:gutter="0"/>
          <w:cols w:space="720" w:num="1"/>
        </w:sectPr>
      </w:pPr>
    </w:p>
    <w:p>
      <w:pPr>
        <w:spacing w:before="12"/>
      </w:pPr>
    </w:p>
    <w:p>
      <w:pPr>
        <w:spacing w:before="12"/>
      </w:pPr>
    </w:p>
    <w:p>
      <w:pPr>
        <w:spacing w:before="11"/>
      </w:pPr>
    </w:p>
    <w:tbl>
      <w:tblPr>
        <w:tblStyle w:val="5"/>
        <w:tblW w:w="14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10"/>
        <w:gridCol w:w="4525"/>
        <w:gridCol w:w="4760"/>
        <w:gridCol w:w="566"/>
        <w:gridCol w:w="1499"/>
        <w:gridCol w:w="1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35" w:type="dxa"/>
            <w:textDirection w:val="tbRlV"/>
            <w:vAlign w:val="top"/>
          </w:tcPr>
          <w:p>
            <w:pPr>
              <w:spacing w:before="211"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10" w:type="dxa"/>
            <w:vAlign w:val="top"/>
          </w:tcPr>
          <w:p>
            <w:pPr>
              <w:spacing w:before="37" w:line="234" w:lineRule="auto"/>
              <w:ind w:left="196" w:right="19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5" w:type="dxa"/>
            <w:vAlign w:val="top"/>
          </w:tcPr>
          <w:p>
            <w:pPr>
              <w:spacing w:before="171" w:line="231" w:lineRule="auto"/>
              <w:ind w:left="1843"/>
              <w:rPr>
                <w:rFonts w:ascii="黑体" w:hAnsi="黑体" w:eastAsia="黑体" w:cs="黑体"/>
                <w:sz w:val="20"/>
                <w:szCs w:val="20"/>
              </w:rPr>
            </w:pPr>
            <w:r>
              <w:rPr>
                <w:rFonts w:ascii="黑体" w:hAnsi="黑体" w:eastAsia="黑体" w:cs="黑体"/>
                <w:spacing w:val="7"/>
                <w:sz w:val="20"/>
                <w:szCs w:val="20"/>
              </w:rPr>
              <w:t>核查内容</w:t>
            </w:r>
          </w:p>
        </w:tc>
        <w:tc>
          <w:tcPr>
            <w:tcW w:w="5326" w:type="dxa"/>
            <w:gridSpan w:val="2"/>
            <w:vAlign w:val="top"/>
          </w:tcPr>
          <w:p>
            <w:pPr>
              <w:spacing w:before="171" w:line="230" w:lineRule="auto"/>
              <w:ind w:left="2248"/>
              <w:rPr>
                <w:rFonts w:ascii="黑体" w:hAnsi="黑体" w:eastAsia="黑体" w:cs="黑体"/>
                <w:sz w:val="20"/>
                <w:szCs w:val="20"/>
              </w:rPr>
            </w:pPr>
            <w:r>
              <w:rPr>
                <w:rFonts w:ascii="黑体" w:hAnsi="黑体" w:eastAsia="黑体" w:cs="黑体"/>
                <w:spacing w:val="7"/>
                <w:sz w:val="20"/>
                <w:szCs w:val="20"/>
              </w:rPr>
              <w:t>评分标准</w:t>
            </w:r>
          </w:p>
        </w:tc>
        <w:tc>
          <w:tcPr>
            <w:tcW w:w="1499" w:type="dxa"/>
            <w:vAlign w:val="top"/>
          </w:tcPr>
          <w:p>
            <w:pPr>
              <w:spacing w:before="171" w:line="231" w:lineRule="auto"/>
              <w:ind w:left="334"/>
              <w:rPr>
                <w:rFonts w:ascii="黑体" w:hAnsi="黑体" w:eastAsia="黑体" w:cs="黑体"/>
                <w:sz w:val="20"/>
                <w:szCs w:val="20"/>
              </w:rPr>
            </w:pPr>
            <w:r>
              <w:rPr>
                <w:rFonts w:ascii="黑体" w:hAnsi="黑体" w:eastAsia="黑体" w:cs="黑体"/>
                <w:spacing w:val="7"/>
                <w:sz w:val="20"/>
                <w:szCs w:val="20"/>
              </w:rPr>
              <w:t>核查得分</w:t>
            </w:r>
          </w:p>
        </w:tc>
        <w:tc>
          <w:tcPr>
            <w:tcW w:w="1583" w:type="dxa"/>
            <w:vAlign w:val="top"/>
          </w:tcPr>
          <w:p>
            <w:pPr>
              <w:spacing w:before="171" w:line="230" w:lineRule="auto"/>
              <w:ind w:left="37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635" w:type="dxa"/>
            <w:vMerge w:val="restart"/>
            <w:tcBorders>
              <w:bottom w:val="nil"/>
            </w:tcBorders>
            <w:vAlign w:val="top"/>
          </w:tcPr>
          <w:p>
            <w:pPr>
              <w:rPr>
                <w:rFonts w:ascii="Arial"/>
                <w:sz w:val="21"/>
              </w:rPr>
            </w:pPr>
          </w:p>
        </w:tc>
        <w:tc>
          <w:tcPr>
            <w:tcW w:w="810" w:type="dxa"/>
            <w:vMerge w:val="restart"/>
            <w:tcBorders>
              <w:bottom w:val="nil"/>
            </w:tcBorders>
            <w:vAlign w:val="top"/>
          </w:tcPr>
          <w:p>
            <w:pPr>
              <w:rPr>
                <w:rFonts w:ascii="Arial"/>
                <w:sz w:val="21"/>
              </w:rPr>
            </w:pPr>
          </w:p>
        </w:tc>
        <w:tc>
          <w:tcPr>
            <w:tcW w:w="4525" w:type="dxa"/>
            <w:vAlign w:val="top"/>
          </w:tcPr>
          <w:p>
            <w:pPr>
              <w:rPr>
                <w:rFonts w:ascii="Arial"/>
                <w:sz w:val="21"/>
              </w:rPr>
            </w:pPr>
          </w:p>
        </w:tc>
        <w:tc>
          <w:tcPr>
            <w:tcW w:w="4760" w:type="dxa"/>
            <w:vAlign w:val="top"/>
          </w:tcPr>
          <w:p>
            <w:pPr>
              <w:pStyle w:val="6"/>
              <w:spacing w:before="29" w:line="246" w:lineRule="auto"/>
              <w:ind w:left="109" w:right="64" w:firstLine="21"/>
            </w:pPr>
            <w:r>
              <w:rPr>
                <w:spacing w:val="7"/>
              </w:rPr>
              <w:t>能满足生产需求，或者作业区布局和划分不合理。</w:t>
            </w:r>
            <w:r>
              <w:rPr>
                <w:spacing w:val="4"/>
              </w:rPr>
              <w:t xml:space="preserve"> </w:t>
            </w:r>
            <w:r>
              <w:rPr>
                <w:rFonts w:ascii="Times New Roman" w:hAnsi="Times New Roman" w:eastAsia="Times New Roman" w:cs="Times New Roman"/>
                <w:spacing w:val="10"/>
              </w:rPr>
              <w:t>2.</w:t>
            </w:r>
            <w:r>
              <w:rPr>
                <w:spacing w:val="10"/>
              </w:rPr>
              <w:t>检验室（过程检验室除外）未与生产区域分隔。</w:t>
            </w:r>
            <w:r>
              <w:t xml:space="preserve"> </w:t>
            </w:r>
            <w:r>
              <w:rPr>
                <w:rFonts w:ascii="Times New Roman" w:hAnsi="Times New Roman" w:eastAsia="Times New Roman" w:cs="Times New Roman"/>
                <w:spacing w:val="9"/>
              </w:rPr>
              <w:t>3.</w:t>
            </w:r>
            <w:r>
              <w:rPr>
                <w:spacing w:val="9"/>
              </w:rPr>
              <w:t>车间内设置的过程检验室不符合相关区域卫生</w:t>
            </w:r>
            <w:r>
              <w:t xml:space="preserve">   </w:t>
            </w:r>
            <w:r>
              <w:rPr>
                <w:spacing w:val="8"/>
              </w:rPr>
              <w:t>要求，存在交叉污染。</w:t>
            </w:r>
          </w:p>
          <w:p>
            <w:pPr>
              <w:pStyle w:val="6"/>
              <w:spacing w:before="24" w:line="231" w:lineRule="auto"/>
              <w:ind w:left="108"/>
            </w:pPr>
            <w:r>
              <w:rPr>
                <w:rFonts w:ascii="Times New Roman" w:hAnsi="Times New Roman" w:eastAsia="Times New Roman" w:cs="Times New Roman"/>
                <w:spacing w:val="7"/>
              </w:rPr>
              <w:t>4.</w:t>
            </w:r>
            <w:r>
              <w:rPr>
                <w:spacing w:val="7"/>
              </w:rPr>
              <w:t>厂区各区域及设施无标志。</w:t>
            </w:r>
          </w:p>
          <w:p>
            <w:pPr>
              <w:pStyle w:val="6"/>
              <w:spacing w:before="24" w:line="241" w:lineRule="auto"/>
              <w:ind w:left="119" w:right="106" w:hanging="4"/>
            </w:pPr>
            <w:r>
              <w:rPr>
                <w:rFonts w:ascii="Times New Roman" w:hAnsi="Times New Roman" w:eastAsia="Times New Roman" w:cs="Times New Roman"/>
                <w:spacing w:val="8"/>
              </w:rPr>
              <w:t>5.</w:t>
            </w:r>
            <w:r>
              <w:rPr>
                <w:spacing w:val="8"/>
              </w:rPr>
              <w:t>使用、贮存危险化学品的场所无警示标志和</w:t>
            </w:r>
            <w:r>
              <w:rPr>
                <w:spacing w:val="7"/>
              </w:rPr>
              <w:t>警示</w:t>
            </w:r>
            <w:r>
              <w:t xml:space="preserve"> </w:t>
            </w:r>
            <w:r>
              <w:rPr>
                <w:spacing w:val="1"/>
              </w:rPr>
              <w:t>说明。</w:t>
            </w:r>
          </w:p>
          <w:p>
            <w:pPr>
              <w:pStyle w:val="6"/>
              <w:spacing w:before="22" w:line="233" w:lineRule="auto"/>
              <w:ind w:left="131" w:right="106" w:hanging="17"/>
            </w:pPr>
            <w:r>
              <w:rPr>
                <w:rFonts w:ascii="Times New Roman" w:hAnsi="Times New Roman" w:eastAsia="Times New Roman" w:cs="Times New Roman"/>
                <w:spacing w:val="8"/>
              </w:rPr>
              <w:t>6.</w:t>
            </w:r>
            <w:r>
              <w:rPr>
                <w:spacing w:val="8"/>
              </w:rPr>
              <w:t>可能产生有害气体、粉尘、污水和废渣等污染源</w:t>
            </w:r>
            <w:r>
              <w:t xml:space="preserve"> </w:t>
            </w:r>
            <w:r>
              <w:rPr>
                <w:spacing w:val="6"/>
              </w:rPr>
              <w:t>的生产场所没有单独设置。</w:t>
            </w:r>
          </w:p>
        </w:tc>
        <w:tc>
          <w:tcPr>
            <w:tcW w:w="566" w:type="dxa"/>
            <w:vAlign w:val="top"/>
          </w:tcPr>
          <w:p>
            <w:pPr>
              <w:rPr>
                <w:rFonts w:ascii="Arial"/>
                <w:sz w:val="21"/>
              </w:rPr>
            </w:pP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restart"/>
            <w:tcBorders>
              <w:bottom w:val="nil"/>
            </w:tcBorders>
            <w:vAlign w:val="top"/>
          </w:tcPr>
          <w:p>
            <w:pPr>
              <w:spacing w:line="274" w:lineRule="auto"/>
              <w:rPr>
                <w:rFonts w:ascii="Arial"/>
                <w:sz w:val="21"/>
              </w:rPr>
            </w:pPr>
          </w:p>
          <w:p>
            <w:pPr>
              <w:spacing w:line="275" w:lineRule="auto"/>
              <w:rPr>
                <w:rFonts w:ascii="Arial"/>
                <w:sz w:val="21"/>
              </w:rPr>
            </w:pPr>
          </w:p>
          <w:p>
            <w:pPr>
              <w:pStyle w:val="6"/>
              <w:spacing w:before="65" w:line="249" w:lineRule="auto"/>
              <w:ind w:left="115" w:right="108" w:hanging="7"/>
              <w:jc w:val="both"/>
            </w:pPr>
            <w:r>
              <w:rPr>
                <w:rFonts w:ascii="Times New Roman" w:hAnsi="Times New Roman" w:eastAsia="Times New Roman" w:cs="Times New Roman"/>
                <w:spacing w:val="7"/>
              </w:rPr>
              <w:t>2.</w:t>
            </w:r>
            <w:r>
              <w:rPr>
                <w:spacing w:val="7"/>
              </w:rPr>
              <w:t>车间保持清洁，顶棚、墙壁、门窗和地面</w:t>
            </w:r>
            <w:r>
              <w:rPr>
                <w:spacing w:val="6"/>
              </w:rPr>
              <w:t>应当</w:t>
            </w:r>
            <w:r>
              <w:t xml:space="preserve"> </w:t>
            </w:r>
            <w:r>
              <w:rPr>
                <w:spacing w:val="4"/>
              </w:rPr>
              <w:t>采用无毒、无味、防渗透、防霉、不易破损脱落</w:t>
            </w:r>
            <w:r>
              <w:rPr>
                <w:spacing w:val="10"/>
              </w:rPr>
              <w:t xml:space="preserve"> </w:t>
            </w:r>
            <w:r>
              <w:rPr>
                <w:spacing w:val="4"/>
              </w:rPr>
              <w:t>的材料建造，结构合理，易于清洁；顶棚结构不</w:t>
            </w:r>
            <w:r>
              <w:rPr>
                <w:spacing w:val="10"/>
              </w:rPr>
              <w:t xml:space="preserve"> </w:t>
            </w:r>
            <w:r>
              <w:rPr>
                <w:spacing w:val="4"/>
              </w:rPr>
              <w:t>利于冷凝水垂直滴落，裸露食品添加剂上方的管</w:t>
            </w:r>
            <w:r>
              <w:rPr>
                <w:spacing w:val="10"/>
              </w:rPr>
              <w:t xml:space="preserve"> </w:t>
            </w:r>
            <w:r>
              <w:rPr>
                <w:spacing w:val="4"/>
              </w:rPr>
              <w:t>路应当有防止灰尘散落及水滴掉落的措施；门窗</w:t>
            </w:r>
            <w:r>
              <w:rPr>
                <w:spacing w:val="10"/>
              </w:rPr>
              <w:t xml:space="preserve"> </w:t>
            </w:r>
            <w:r>
              <w:rPr>
                <w:spacing w:val="4"/>
              </w:rPr>
              <w:t>应当闭合严密，不透水、不变形，并有防止虫害</w:t>
            </w:r>
            <w:r>
              <w:rPr>
                <w:spacing w:val="10"/>
              </w:rPr>
              <w:t xml:space="preserve"> </w:t>
            </w:r>
            <w:r>
              <w:rPr>
                <w:spacing w:val="8"/>
              </w:rPr>
              <w:t>侵入的措施；地面应当平坦防滑、无裂缝。</w:t>
            </w:r>
          </w:p>
        </w:tc>
        <w:tc>
          <w:tcPr>
            <w:tcW w:w="4760" w:type="dxa"/>
            <w:vAlign w:val="top"/>
          </w:tcPr>
          <w:p>
            <w:pPr>
              <w:pStyle w:val="6"/>
              <w:spacing w:before="67" w:line="229" w:lineRule="auto"/>
              <w:ind w:left="124"/>
            </w:pPr>
            <w:r>
              <w:rPr>
                <w:spacing w:val="5"/>
              </w:rPr>
              <w:t>符合规定要求。</w:t>
            </w:r>
          </w:p>
        </w:tc>
        <w:tc>
          <w:tcPr>
            <w:tcW w:w="566" w:type="dxa"/>
            <w:vAlign w:val="top"/>
          </w:tcPr>
          <w:p>
            <w:pPr>
              <w:spacing w:before="103"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bottom w:val="nil"/>
            </w:tcBorders>
            <w:vAlign w:val="top"/>
          </w:tcPr>
          <w:p>
            <w:pPr>
              <w:rPr>
                <w:rFonts w:ascii="Arial"/>
                <w:sz w:val="21"/>
              </w:rPr>
            </w:pPr>
          </w:p>
        </w:tc>
        <w:tc>
          <w:tcPr>
            <w:tcW w:w="4760" w:type="dxa"/>
            <w:vAlign w:val="top"/>
          </w:tcPr>
          <w:p>
            <w:pPr>
              <w:pStyle w:val="6"/>
              <w:spacing w:before="34" w:line="228" w:lineRule="auto"/>
              <w:ind w:left="129"/>
            </w:pPr>
            <w:r>
              <w:rPr>
                <w:rFonts w:ascii="Times New Roman" w:hAnsi="Times New Roman" w:eastAsia="Times New Roman" w:cs="Times New Roman"/>
                <w:spacing w:val="6"/>
              </w:rPr>
              <w:t>1.</w:t>
            </w:r>
            <w:r>
              <w:rPr>
                <w:spacing w:val="6"/>
              </w:rPr>
              <w:t>车间清洁程度略有不足。</w:t>
            </w:r>
          </w:p>
          <w:p>
            <w:pPr>
              <w:pStyle w:val="6"/>
              <w:spacing w:before="24"/>
              <w:ind w:left="116" w:right="106" w:hanging="7"/>
            </w:pPr>
            <w:r>
              <w:rPr>
                <w:rFonts w:ascii="Times New Roman" w:hAnsi="Times New Roman" w:eastAsia="Times New Roman" w:cs="Times New Roman"/>
                <w:spacing w:val="8"/>
              </w:rPr>
              <w:t>2.</w:t>
            </w:r>
            <w:r>
              <w:rPr>
                <w:spacing w:val="8"/>
              </w:rPr>
              <w:t>车间个别部位的顶棚、墙壁、地面和门窗构造有</w:t>
            </w:r>
            <w:r>
              <w:rPr>
                <w:spacing w:val="3"/>
              </w:rPr>
              <w:t xml:space="preserve"> </w:t>
            </w:r>
            <w:r>
              <w:rPr>
                <w:spacing w:val="8"/>
              </w:rPr>
              <w:t>缺陷，或者相关防护措施略有不足。</w:t>
            </w:r>
          </w:p>
          <w:p>
            <w:pPr>
              <w:pStyle w:val="6"/>
              <w:spacing w:before="23" w:line="234" w:lineRule="auto"/>
              <w:ind w:left="116" w:right="106" w:hanging="3"/>
            </w:pPr>
            <w:r>
              <w:rPr>
                <w:rFonts w:ascii="Times New Roman" w:hAnsi="Times New Roman" w:eastAsia="Times New Roman" w:cs="Times New Roman"/>
                <w:spacing w:val="8"/>
              </w:rPr>
              <w:t>3.</w:t>
            </w:r>
            <w:r>
              <w:rPr>
                <w:spacing w:val="8"/>
              </w:rPr>
              <w:t>个别裸露食品添加剂上方的管路、装备存在轻微</w:t>
            </w:r>
            <w:r>
              <w:t xml:space="preserve"> </w:t>
            </w:r>
            <w:r>
              <w:rPr>
                <w:spacing w:val="1"/>
              </w:rPr>
              <w:t>缺陷。</w:t>
            </w:r>
          </w:p>
        </w:tc>
        <w:tc>
          <w:tcPr>
            <w:tcW w:w="566" w:type="dxa"/>
            <w:vAlign w:val="top"/>
          </w:tcPr>
          <w:p>
            <w:pPr>
              <w:spacing w:line="275" w:lineRule="auto"/>
              <w:rPr>
                <w:rFonts w:ascii="Arial"/>
                <w:sz w:val="21"/>
              </w:rPr>
            </w:pPr>
          </w:p>
          <w:p>
            <w:pPr>
              <w:spacing w:line="276" w:lineRule="auto"/>
              <w:rPr>
                <w:rFonts w:ascii="Arial"/>
                <w:sz w:val="21"/>
              </w:rPr>
            </w:pPr>
          </w:p>
          <w:p>
            <w:pPr>
              <w:spacing w:before="58"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32" w:line="242" w:lineRule="auto"/>
              <w:ind w:left="118" w:right="106" w:firstLine="10"/>
            </w:pPr>
            <w:r>
              <w:rPr>
                <w:rFonts w:ascii="Times New Roman" w:hAnsi="Times New Roman" w:eastAsia="Times New Roman" w:cs="Times New Roman"/>
                <w:spacing w:val="7"/>
              </w:rPr>
              <w:t>1.</w:t>
            </w:r>
            <w:r>
              <w:rPr>
                <w:spacing w:val="7"/>
              </w:rPr>
              <w:t>车间清洁不洁，严重影响食品添加剂加工卫生条</w:t>
            </w:r>
            <w:r>
              <w:rPr>
                <w:spacing w:val="6"/>
              </w:rPr>
              <w:t xml:space="preserve"> </w:t>
            </w:r>
            <w:r>
              <w:rPr>
                <w:spacing w:val="-3"/>
              </w:rPr>
              <w:t>件。</w:t>
            </w:r>
          </w:p>
          <w:p>
            <w:pPr>
              <w:pStyle w:val="6"/>
              <w:spacing w:before="21"/>
              <w:ind w:left="121" w:right="132" w:hanging="12"/>
            </w:pPr>
            <w:r>
              <w:rPr>
                <w:rFonts w:ascii="Times New Roman" w:hAnsi="Times New Roman" w:eastAsia="Times New Roman" w:cs="Times New Roman"/>
                <w:spacing w:val="7"/>
              </w:rPr>
              <w:t>2.</w:t>
            </w:r>
            <w:r>
              <w:rPr>
                <w:spacing w:val="7"/>
              </w:rPr>
              <w:t>车间的顶棚、墙壁、地面和门窗构造缺陷明显，</w:t>
            </w:r>
            <w:r>
              <w:t xml:space="preserve"> </w:t>
            </w:r>
            <w:r>
              <w:rPr>
                <w:spacing w:val="6"/>
              </w:rPr>
              <w:t>存在交叉污染现象。</w:t>
            </w:r>
          </w:p>
          <w:p>
            <w:pPr>
              <w:pStyle w:val="6"/>
              <w:spacing w:before="24" w:line="214" w:lineRule="auto"/>
              <w:ind w:left="113"/>
            </w:pPr>
            <w:r>
              <w:rPr>
                <w:rFonts w:ascii="Times New Roman" w:hAnsi="Times New Roman" w:eastAsia="Times New Roman" w:cs="Times New Roman"/>
                <w:spacing w:val="8"/>
              </w:rPr>
              <w:t>3.</w:t>
            </w:r>
            <w:r>
              <w:rPr>
                <w:spacing w:val="8"/>
              </w:rPr>
              <w:t>裸露食品添加剂上方的管路、装备无防控措施。</w:t>
            </w:r>
          </w:p>
        </w:tc>
        <w:tc>
          <w:tcPr>
            <w:tcW w:w="566" w:type="dxa"/>
            <w:vAlign w:val="top"/>
          </w:tcPr>
          <w:p>
            <w:pPr>
              <w:spacing w:line="276" w:lineRule="auto"/>
              <w:rPr>
                <w:rFonts w:ascii="Arial"/>
                <w:sz w:val="21"/>
              </w:rPr>
            </w:pPr>
          </w:p>
          <w:p>
            <w:pPr>
              <w:spacing w:line="277" w:lineRule="auto"/>
              <w:rPr>
                <w:rFonts w:ascii="Arial"/>
                <w:sz w:val="21"/>
              </w:rPr>
            </w:pPr>
          </w:p>
          <w:p>
            <w:pPr>
              <w:spacing w:before="57"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restart"/>
            <w:tcBorders>
              <w:bottom w:val="nil"/>
            </w:tcBorders>
            <w:vAlign w:val="top"/>
          </w:tcPr>
          <w:p>
            <w:pPr>
              <w:spacing w:line="420" w:lineRule="auto"/>
              <w:rPr>
                <w:rFonts w:ascii="Arial"/>
                <w:sz w:val="21"/>
              </w:rPr>
            </w:pPr>
          </w:p>
          <w:p>
            <w:pPr>
              <w:pStyle w:val="6"/>
              <w:spacing w:before="65" w:line="239" w:lineRule="auto"/>
              <w:ind w:left="118" w:right="108" w:hanging="6"/>
            </w:pPr>
            <w:r>
              <w:rPr>
                <w:rFonts w:ascii="Times New Roman" w:hAnsi="Times New Roman" w:eastAsia="Times New Roman" w:cs="Times New Roman"/>
                <w:spacing w:val="6"/>
              </w:rPr>
              <w:t>3.</w:t>
            </w:r>
            <w:r>
              <w:rPr>
                <w:spacing w:val="6"/>
              </w:rPr>
              <w:t>进出清洁作业区的人流、物流应有防止交叉污</w:t>
            </w:r>
            <w:r>
              <w:rPr>
                <w:spacing w:val="16"/>
              </w:rPr>
              <w:t xml:space="preserve"> </w:t>
            </w:r>
            <w:r>
              <w:rPr>
                <w:spacing w:val="4"/>
              </w:rPr>
              <w:t>染的措施。</w:t>
            </w:r>
          </w:p>
        </w:tc>
        <w:tc>
          <w:tcPr>
            <w:tcW w:w="4760" w:type="dxa"/>
            <w:vAlign w:val="top"/>
          </w:tcPr>
          <w:p>
            <w:pPr>
              <w:pStyle w:val="6"/>
              <w:spacing w:before="70" w:line="224" w:lineRule="auto"/>
              <w:ind w:left="118"/>
            </w:pPr>
            <w:r>
              <w:rPr>
                <w:spacing w:val="6"/>
              </w:rPr>
              <w:t>符合规定要求。</w:t>
            </w:r>
          </w:p>
        </w:tc>
        <w:tc>
          <w:tcPr>
            <w:tcW w:w="566" w:type="dxa"/>
            <w:vAlign w:val="top"/>
          </w:tcPr>
          <w:p>
            <w:pPr>
              <w:spacing w:before="105"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bottom w:val="nil"/>
            </w:tcBorders>
            <w:vAlign w:val="top"/>
          </w:tcPr>
          <w:p>
            <w:pPr>
              <w:rPr>
                <w:rFonts w:ascii="Arial"/>
                <w:sz w:val="21"/>
              </w:rPr>
            </w:pPr>
          </w:p>
        </w:tc>
        <w:tc>
          <w:tcPr>
            <w:tcW w:w="4760" w:type="dxa"/>
            <w:vAlign w:val="top"/>
          </w:tcPr>
          <w:p>
            <w:pPr>
              <w:pStyle w:val="6"/>
              <w:spacing w:before="37" w:line="232" w:lineRule="auto"/>
              <w:ind w:left="113" w:right="106" w:firstLine="1"/>
            </w:pPr>
            <w:r>
              <w:rPr>
                <w:spacing w:val="6"/>
              </w:rPr>
              <w:t>个别人流、物流进出清洁作业区的防止交叉污染的</w:t>
            </w:r>
            <w:r>
              <w:t xml:space="preserve"> </w:t>
            </w:r>
            <w:r>
              <w:rPr>
                <w:spacing w:val="7"/>
              </w:rPr>
              <w:t>措施存在轻微缺陷。</w:t>
            </w:r>
          </w:p>
        </w:tc>
        <w:tc>
          <w:tcPr>
            <w:tcW w:w="566" w:type="dxa"/>
            <w:vAlign w:val="top"/>
          </w:tcPr>
          <w:p>
            <w:pPr>
              <w:spacing w:before="209"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35"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37" w:line="232" w:lineRule="auto"/>
              <w:ind w:left="109" w:right="106" w:firstLine="13"/>
            </w:pPr>
            <w:r>
              <w:rPr>
                <w:spacing w:val="5"/>
              </w:rPr>
              <w:t>清洁作业区的防止人流、物流交叉污染的措施存在</w:t>
            </w:r>
            <w:r>
              <w:rPr>
                <w:spacing w:val="14"/>
              </w:rPr>
              <w:t xml:space="preserve"> </w:t>
            </w:r>
            <w:r>
              <w:rPr>
                <w:spacing w:val="6"/>
              </w:rPr>
              <w:t>严重缺陷。</w:t>
            </w:r>
          </w:p>
        </w:tc>
        <w:tc>
          <w:tcPr>
            <w:tcW w:w="566" w:type="dxa"/>
            <w:vAlign w:val="top"/>
          </w:tcPr>
          <w:p>
            <w:pPr>
              <w:spacing w:before="206"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restart"/>
            <w:tcBorders>
              <w:bottom w:val="nil"/>
            </w:tcBorders>
            <w:vAlign w:val="top"/>
          </w:tcPr>
          <w:p>
            <w:pPr>
              <w:spacing w:line="323"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1.3</w:t>
            </w:r>
          </w:p>
        </w:tc>
        <w:tc>
          <w:tcPr>
            <w:tcW w:w="810" w:type="dxa"/>
            <w:vMerge w:val="restart"/>
            <w:tcBorders>
              <w:bottom w:val="nil"/>
            </w:tcBorders>
            <w:vAlign w:val="top"/>
          </w:tcPr>
          <w:p>
            <w:pPr>
              <w:pStyle w:val="6"/>
              <w:spacing w:before="207" w:line="242" w:lineRule="auto"/>
              <w:ind w:left="206" w:right="198"/>
            </w:pPr>
            <w:r>
              <w:t xml:space="preserve">库房 </w:t>
            </w:r>
            <w:r>
              <w:rPr>
                <w:spacing w:val="-1"/>
              </w:rPr>
              <w:t>要求</w:t>
            </w:r>
          </w:p>
        </w:tc>
        <w:tc>
          <w:tcPr>
            <w:tcW w:w="4525" w:type="dxa"/>
            <w:vMerge w:val="restart"/>
            <w:tcBorders>
              <w:bottom w:val="nil"/>
            </w:tcBorders>
            <w:vAlign w:val="top"/>
          </w:tcPr>
          <w:p>
            <w:pPr>
              <w:pStyle w:val="6"/>
              <w:spacing w:before="74" w:line="243" w:lineRule="auto"/>
              <w:ind w:left="116" w:right="108" w:firstLine="11"/>
              <w:jc w:val="both"/>
            </w:pPr>
            <w:r>
              <w:rPr>
                <w:rFonts w:ascii="Times New Roman" w:hAnsi="Times New Roman" w:eastAsia="Times New Roman" w:cs="Times New Roman"/>
                <w:spacing w:val="6"/>
              </w:rPr>
              <w:t>1.</w:t>
            </w:r>
            <w:r>
              <w:rPr>
                <w:spacing w:val="6"/>
              </w:rPr>
              <w:t>应当与所生产产品的数量、贮存要求相适应，</w:t>
            </w:r>
            <w:r>
              <w:t xml:space="preserve"> </w:t>
            </w:r>
            <w:r>
              <w:rPr>
                <w:spacing w:val="4"/>
              </w:rPr>
              <w:t>与《食品添加剂生产加工场所平面图》《食品添</w:t>
            </w:r>
            <w:r>
              <w:rPr>
                <w:spacing w:val="9"/>
              </w:rPr>
              <w:t xml:space="preserve"> </w:t>
            </w:r>
            <w:r>
              <w:rPr>
                <w:spacing w:val="4"/>
              </w:rPr>
              <w:t>加剂生产加工场所各功能区间布局平面图》中标</w:t>
            </w:r>
          </w:p>
        </w:tc>
        <w:tc>
          <w:tcPr>
            <w:tcW w:w="4760" w:type="dxa"/>
            <w:vAlign w:val="top"/>
          </w:tcPr>
          <w:p>
            <w:pPr>
              <w:pStyle w:val="6"/>
              <w:spacing w:before="69" w:line="229" w:lineRule="auto"/>
              <w:ind w:left="124"/>
            </w:pPr>
            <w:r>
              <w:rPr>
                <w:spacing w:val="5"/>
              </w:rPr>
              <w:t>符合规定要求。</w:t>
            </w:r>
          </w:p>
        </w:tc>
        <w:tc>
          <w:tcPr>
            <w:tcW w:w="566" w:type="dxa"/>
            <w:vAlign w:val="top"/>
          </w:tcPr>
          <w:p>
            <w:pPr>
              <w:spacing w:before="104"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35"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36" w:line="233" w:lineRule="auto"/>
              <w:ind w:left="109" w:right="957" w:firstLine="20"/>
            </w:pPr>
            <w:r>
              <w:rPr>
                <w:rFonts w:ascii="Times New Roman" w:hAnsi="Times New Roman" w:eastAsia="Times New Roman" w:cs="Times New Roman"/>
                <w:spacing w:val="6"/>
              </w:rPr>
              <w:t>1.</w:t>
            </w:r>
            <w:r>
              <w:rPr>
                <w:spacing w:val="6"/>
              </w:rPr>
              <w:t>库房整洁程度或者相关设施略有不足。</w:t>
            </w:r>
            <w:r>
              <w:rPr>
                <w:spacing w:val="3"/>
              </w:rPr>
              <w:t xml:space="preserve"> </w:t>
            </w:r>
            <w:r>
              <w:rPr>
                <w:rFonts w:ascii="Times New Roman" w:hAnsi="Times New Roman" w:eastAsia="Times New Roman" w:cs="Times New Roman"/>
                <w:spacing w:val="8"/>
              </w:rPr>
              <w:t>2.</w:t>
            </w:r>
            <w:r>
              <w:rPr>
                <w:spacing w:val="8"/>
              </w:rPr>
              <w:t>实际库房与平面图标注不一致。</w:t>
            </w:r>
          </w:p>
        </w:tc>
        <w:tc>
          <w:tcPr>
            <w:tcW w:w="566" w:type="dxa"/>
            <w:vAlign w:val="top"/>
          </w:tcPr>
          <w:p>
            <w:pPr>
              <w:spacing w:before="206"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5" w:type="default"/>
          <w:pgSz w:w="15840" w:h="12240"/>
          <w:pgMar w:top="1040" w:right="418" w:bottom="895" w:left="1038" w:header="0" w:footer="723" w:gutter="0"/>
          <w:cols w:space="720" w:num="1"/>
        </w:sectPr>
      </w:pPr>
    </w:p>
    <w:p>
      <w:pPr>
        <w:spacing w:before="12"/>
      </w:pPr>
    </w:p>
    <w:p>
      <w:pPr>
        <w:spacing w:before="12"/>
      </w:pPr>
    </w:p>
    <w:p>
      <w:pPr>
        <w:spacing w:before="11"/>
      </w:pPr>
    </w:p>
    <w:tbl>
      <w:tblPr>
        <w:tblStyle w:val="5"/>
        <w:tblW w:w="14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10"/>
        <w:gridCol w:w="4525"/>
        <w:gridCol w:w="4760"/>
        <w:gridCol w:w="566"/>
        <w:gridCol w:w="1499"/>
        <w:gridCol w:w="1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35" w:type="dxa"/>
            <w:textDirection w:val="tbRlV"/>
            <w:vAlign w:val="top"/>
          </w:tcPr>
          <w:p>
            <w:pPr>
              <w:spacing w:before="211"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10" w:type="dxa"/>
            <w:vAlign w:val="top"/>
          </w:tcPr>
          <w:p>
            <w:pPr>
              <w:spacing w:before="37" w:line="234" w:lineRule="auto"/>
              <w:ind w:left="196" w:right="19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5" w:type="dxa"/>
            <w:vAlign w:val="top"/>
          </w:tcPr>
          <w:p>
            <w:pPr>
              <w:spacing w:before="171" w:line="231" w:lineRule="auto"/>
              <w:ind w:left="1843"/>
              <w:rPr>
                <w:rFonts w:ascii="黑体" w:hAnsi="黑体" w:eastAsia="黑体" w:cs="黑体"/>
                <w:sz w:val="20"/>
                <w:szCs w:val="20"/>
              </w:rPr>
            </w:pPr>
            <w:r>
              <w:rPr>
                <w:rFonts w:ascii="黑体" w:hAnsi="黑体" w:eastAsia="黑体" w:cs="黑体"/>
                <w:spacing w:val="7"/>
                <w:sz w:val="20"/>
                <w:szCs w:val="20"/>
              </w:rPr>
              <w:t>核查内容</w:t>
            </w:r>
          </w:p>
        </w:tc>
        <w:tc>
          <w:tcPr>
            <w:tcW w:w="5326" w:type="dxa"/>
            <w:gridSpan w:val="2"/>
            <w:vAlign w:val="top"/>
          </w:tcPr>
          <w:p>
            <w:pPr>
              <w:spacing w:before="171" w:line="230" w:lineRule="auto"/>
              <w:ind w:left="2248"/>
              <w:rPr>
                <w:rFonts w:ascii="黑体" w:hAnsi="黑体" w:eastAsia="黑体" w:cs="黑体"/>
                <w:sz w:val="20"/>
                <w:szCs w:val="20"/>
              </w:rPr>
            </w:pPr>
            <w:r>
              <w:rPr>
                <w:rFonts w:ascii="黑体" w:hAnsi="黑体" w:eastAsia="黑体" w:cs="黑体"/>
                <w:spacing w:val="7"/>
                <w:sz w:val="20"/>
                <w:szCs w:val="20"/>
              </w:rPr>
              <w:t>评分标准</w:t>
            </w:r>
          </w:p>
        </w:tc>
        <w:tc>
          <w:tcPr>
            <w:tcW w:w="1499" w:type="dxa"/>
            <w:vAlign w:val="top"/>
          </w:tcPr>
          <w:p>
            <w:pPr>
              <w:spacing w:before="171" w:line="231" w:lineRule="auto"/>
              <w:ind w:left="334"/>
              <w:rPr>
                <w:rFonts w:ascii="黑体" w:hAnsi="黑体" w:eastAsia="黑体" w:cs="黑体"/>
                <w:sz w:val="20"/>
                <w:szCs w:val="20"/>
              </w:rPr>
            </w:pPr>
            <w:r>
              <w:rPr>
                <w:rFonts w:ascii="黑体" w:hAnsi="黑体" w:eastAsia="黑体" w:cs="黑体"/>
                <w:spacing w:val="7"/>
                <w:sz w:val="20"/>
                <w:szCs w:val="20"/>
              </w:rPr>
              <w:t>核查得分</w:t>
            </w:r>
          </w:p>
        </w:tc>
        <w:tc>
          <w:tcPr>
            <w:tcW w:w="1583" w:type="dxa"/>
            <w:vAlign w:val="top"/>
          </w:tcPr>
          <w:p>
            <w:pPr>
              <w:spacing w:before="171" w:line="230" w:lineRule="auto"/>
              <w:ind w:left="37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35" w:type="dxa"/>
            <w:vMerge w:val="restart"/>
            <w:tcBorders>
              <w:bottom w:val="nil"/>
            </w:tcBorders>
            <w:vAlign w:val="top"/>
          </w:tcPr>
          <w:p>
            <w:pPr>
              <w:rPr>
                <w:rFonts w:ascii="Arial"/>
                <w:sz w:val="21"/>
              </w:rPr>
            </w:pPr>
          </w:p>
        </w:tc>
        <w:tc>
          <w:tcPr>
            <w:tcW w:w="810" w:type="dxa"/>
            <w:vMerge w:val="restart"/>
            <w:tcBorders>
              <w:bottom w:val="nil"/>
            </w:tcBorders>
            <w:vAlign w:val="top"/>
          </w:tcPr>
          <w:p>
            <w:pPr>
              <w:rPr>
                <w:rFonts w:ascii="Arial"/>
                <w:sz w:val="21"/>
              </w:rPr>
            </w:pPr>
          </w:p>
        </w:tc>
        <w:tc>
          <w:tcPr>
            <w:tcW w:w="4525" w:type="dxa"/>
            <w:vAlign w:val="top"/>
          </w:tcPr>
          <w:p>
            <w:pPr>
              <w:pStyle w:val="6"/>
              <w:spacing w:before="31" w:line="244" w:lineRule="auto"/>
              <w:ind w:left="118" w:right="40" w:firstLine="5"/>
              <w:jc w:val="both"/>
            </w:pPr>
            <w:r>
              <w:rPr>
                <w:spacing w:val="-2"/>
              </w:rPr>
              <w:t>注的库房一致。库房整洁，地面平整，易于维护、</w:t>
            </w:r>
            <w:r>
              <w:t xml:space="preserve"> </w:t>
            </w:r>
            <w:r>
              <w:rPr>
                <w:spacing w:val="4"/>
              </w:rPr>
              <w:t>清洁，防止虫害侵入和藏匿。必要时库房应当设</w:t>
            </w:r>
            <w:r>
              <w:rPr>
                <w:spacing w:val="8"/>
              </w:rPr>
              <w:t xml:space="preserve"> 置相适应的温度、湿度控制等设施。</w:t>
            </w:r>
          </w:p>
        </w:tc>
        <w:tc>
          <w:tcPr>
            <w:tcW w:w="4760" w:type="dxa"/>
            <w:vAlign w:val="top"/>
          </w:tcPr>
          <w:p>
            <w:pPr>
              <w:pStyle w:val="6"/>
              <w:spacing w:before="30" w:line="231" w:lineRule="auto"/>
              <w:ind w:left="129"/>
            </w:pPr>
            <w:r>
              <w:rPr>
                <w:rFonts w:ascii="Times New Roman" w:hAnsi="Times New Roman" w:eastAsia="Times New Roman" w:cs="Times New Roman"/>
                <w:spacing w:val="7"/>
              </w:rPr>
              <w:t>1.</w:t>
            </w:r>
            <w:r>
              <w:rPr>
                <w:spacing w:val="7"/>
              </w:rPr>
              <w:t>库房不整洁，顶棚、墙壁、地面破损严重。</w:t>
            </w:r>
          </w:p>
          <w:p>
            <w:pPr>
              <w:pStyle w:val="6"/>
              <w:spacing w:before="23" w:line="239" w:lineRule="auto"/>
              <w:ind w:left="117" w:right="106" w:hanging="8"/>
            </w:pPr>
            <w:r>
              <w:rPr>
                <w:rFonts w:ascii="Times New Roman" w:hAnsi="Times New Roman" w:eastAsia="Times New Roman" w:cs="Times New Roman"/>
                <w:spacing w:val="8"/>
              </w:rPr>
              <w:t>2.</w:t>
            </w:r>
            <w:r>
              <w:rPr>
                <w:spacing w:val="8"/>
              </w:rPr>
              <w:t>库房种类、面积或贮存条件、防护措施不满足物</w:t>
            </w:r>
            <w:r>
              <w:rPr>
                <w:spacing w:val="3"/>
              </w:rPr>
              <w:t xml:space="preserve"> </w:t>
            </w:r>
            <w:r>
              <w:rPr>
                <w:spacing w:val="5"/>
              </w:rPr>
              <w:t>料存储需求。</w:t>
            </w:r>
          </w:p>
          <w:p>
            <w:pPr>
              <w:pStyle w:val="6"/>
              <w:spacing w:before="27" w:line="233" w:lineRule="auto"/>
              <w:ind w:left="117" w:right="296" w:hanging="4"/>
            </w:pPr>
            <w:r>
              <w:rPr>
                <w:rFonts w:ascii="Times New Roman" w:hAnsi="Times New Roman" w:eastAsia="Times New Roman" w:cs="Times New Roman"/>
                <w:spacing w:val="8"/>
              </w:rPr>
              <w:t>3.</w:t>
            </w:r>
            <w:r>
              <w:rPr>
                <w:spacing w:val="8"/>
              </w:rPr>
              <w:t>库房缺少必要的虫害防控或温度、湿度控制设</w:t>
            </w:r>
            <w:r>
              <w:rPr>
                <w:spacing w:val="18"/>
              </w:rPr>
              <w:t xml:space="preserve"> </w:t>
            </w:r>
            <w:r>
              <w:rPr>
                <w:spacing w:val="-3"/>
              </w:rPr>
              <w:t>施。</w:t>
            </w:r>
          </w:p>
        </w:tc>
        <w:tc>
          <w:tcPr>
            <w:tcW w:w="566" w:type="dxa"/>
            <w:vAlign w:val="top"/>
          </w:tcPr>
          <w:p>
            <w:pPr>
              <w:spacing w:line="275" w:lineRule="auto"/>
              <w:rPr>
                <w:rFonts w:ascii="Arial"/>
                <w:sz w:val="21"/>
              </w:rPr>
            </w:pPr>
          </w:p>
          <w:p>
            <w:pPr>
              <w:spacing w:line="275" w:lineRule="auto"/>
              <w:rPr>
                <w:rFonts w:ascii="Arial"/>
                <w:sz w:val="21"/>
              </w:rPr>
            </w:pPr>
          </w:p>
          <w:p>
            <w:pPr>
              <w:spacing w:before="57"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restart"/>
            <w:tcBorders>
              <w:bottom w:val="nil"/>
            </w:tcBorders>
            <w:vAlign w:val="top"/>
          </w:tcPr>
          <w:p>
            <w:pPr>
              <w:spacing w:line="279" w:lineRule="auto"/>
              <w:rPr>
                <w:rFonts w:ascii="Arial"/>
                <w:sz w:val="21"/>
              </w:rPr>
            </w:pPr>
          </w:p>
          <w:p>
            <w:pPr>
              <w:spacing w:line="280" w:lineRule="auto"/>
              <w:rPr>
                <w:rFonts w:ascii="Arial"/>
                <w:sz w:val="21"/>
              </w:rPr>
            </w:pPr>
          </w:p>
          <w:p>
            <w:pPr>
              <w:pStyle w:val="6"/>
              <w:spacing w:before="65" w:line="247" w:lineRule="auto"/>
              <w:ind w:left="119" w:right="39" w:hanging="11"/>
              <w:jc w:val="both"/>
            </w:pPr>
            <w:r>
              <w:rPr>
                <w:rFonts w:ascii="Times New Roman" w:hAnsi="Times New Roman" w:eastAsia="Times New Roman" w:cs="Times New Roman"/>
                <w:spacing w:val="7"/>
              </w:rPr>
              <w:t>2.</w:t>
            </w:r>
            <w:r>
              <w:rPr>
                <w:spacing w:val="7"/>
              </w:rPr>
              <w:t>原料、半成品、成品、包装材料等应当依</w:t>
            </w:r>
            <w:r>
              <w:rPr>
                <w:spacing w:val="6"/>
              </w:rPr>
              <w:t>据性</w:t>
            </w:r>
            <w:r>
              <w:t xml:space="preserve"> </w:t>
            </w:r>
            <w:r>
              <w:rPr>
                <w:spacing w:val="-2"/>
              </w:rPr>
              <w:t>质的不同分设库房或分区存放。清洁剂、消毒剂、</w:t>
            </w:r>
            <w:r>
              <w:rPr>
                <w:spacing w:val="3"/>
              </w:rPr>
              <w:t xml:space="preserve"> </w:t>
            </w:r>
            <w:r>
              <w:rPr>
                <w:spacing w:val="-2"/>
              </w:rPr>
              <w:t>杀虫剂、润滑剂、燃料等物料应当分别安全包装，</w:t>
            </w:r>
            <w:r>
              <w:rPr>
                <w:spacing w:val="3"/>
              </w:rPr>
              <w:t xml:space="preserve"> </w:t>
            </w:r>
            <w:r>
              <w:rPr>
                <w:spacing w:val="7"/>
              </w:rPr>
              <w:t>与原料、半成品、成品、包装材料等分隔放置。</w:t>
            </w:r>
            <w:r>
              <w:rPr>
                <w:spacing w:val="12"/>
              </w:rPr>
              <w:t xml:space="preserve"> </w:t>
            </w:r>
            <w:r>
              <w:rPr>
                <w:spacing w:val="7"/>
              </w:rPr>
              <w:t>库房内的物料应当与墙壁、地面保持适当距离，</w:t>
            </w:r>
            <w:r>
              <w:rPr>
                <w:spacing w:val="12"/>
              </w:rPr>
              <w:t xml:space="preserve"> </w:t>
            </w:r>
            <w:r>
              <w:rPr>
                <w:spacing w:val="7"/>
              </w:rPr>
              <w:t>并明确标识，防止交叉污染。</w:t>
            </w:r>
          </w:p>
        </w:tc>
        <w:tc>
          <w:tcPr>
            <w:tcW w:w="4760" w:type="dxa"/>
            <w:vAlign w:val="top"/>
          </w:tcPr>
          <w:p>
            <w:pPr>
              <w:pStyle w:val="6"/>
              <w:spacing w:before="68" w:line="229" w:lineRule="auto"/>
              <w:ind w:left="124"/>
            </w:pPr>
            <w:r>
              <w:rPr>
                <w:spacing w:val="5"/>
              </w:rPr>
              <w:t>符合规定要求。</w:t>
            </w:r>
          </w:p>
        </w:tc>
        <w:tc>
          <w:tcPr>
            <w:tcW w:w="566" w:type="dxa"/>
            <w:vAlign w:val="top"/>
          </w:tcPr>
          <w:p>
            <w:pPr>
              <w:spacing w:before="103" w:line="195" w:lineRule="auto"/>
              <w:ind w:left="2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35" w:type="dxa"/>
            <w:vMerge w:val="continue"/>
            <w:tcBorders>
              <w:top w:val="nil"/>
              <w:bottom w:val="nil"/>
            </w:tcBorders>
            <w:vAlign w:val="top"/>
          </w:tcPr>
          <w:p>
            <w:pPr>
              <w:rPr>
                <w:rFonts w:ascii="Arial"/>
                <w:sz w:val="21"/>
              </w:rPr>
            </w:pPr>
          </w:p>
        </w:tc>
        <w:tc>
          <w:tcPr>
            <w:tcW w:w="810" w:type="dxa"/>
            <w:vMerge w:val="continue"/>
            <w:tcBorders>
              <w:top w:val="nil"/>
              <w:bottom w:val="nil"/>
            </w:tcBorders>
            <w:vAlign w:val="top"/>
          </w:tcPr>
          <w:p>
            <w:pPr>
              <w:rPr>
                <w:rFonts w:ascii="Arial"/>
                <w:sz w:val="21"/>
              </w:rPr>
            </w:pPr>
          </w:p>
        </w:tc>
        <w:tc>
          <w:tcPr>
            <w:tcW w:w="4525" w:type="dxa"/>
            <w:vMerge w:val="continue"/>
            <w:tcBorders>
              <w:top w:val="nil"/>
              <w:bottom w:val="nil"/>
            </w:tcBorders>
            <w:vAlign w:val="top"/>
          </w:tcPr>
          <w:p>
            <w:pPr>
              <w:rPr>
                <w:rFonts w:ascii="Arial"/>
                <w:sz w:val="21"/>
              </w:rPr>
            </w:pPr>
          </w:p>
        </w:tc>
        <w:tc>
          <w:tcPr>
            <w:tcW w:w="4760" w:type="dxa"/>
            <w:vAlign w:val="top"/>
          </w:tcPr>
          <w:p>
            <w:pPr>
              <w:pStyle w:val="6"/>
              <w:spacing w:before="34" w:line="228" w:lineRule="auto"/>
              <w:ind w:left="129"/>
            </w:pPr>
            <w:r>
              <w:rPr>
                <w:rFonts w:ascii="Times New Roman" w:hAnsi="Times New Roman" w:eastAsia="Times New Roman" w:cs="Times New Roman"/>
                <w:spacing w:val="7"/>
              </w:rPr>
              <w:t>1.</w:t>
            </w:r>
            <w:r>
              <w:rPr>
                <w:spacing w:val="7"/>
              </w:rPr>
              <w:t>个别批次物料未分库或分区存放。</w:t>
            </w:r>
          </w:p>
          <w:p>
            <w:pPr>
              <w:pStyle w:val="6"/>
              <w:spacing w:before="24" w:line="233" w:lineRule="auto"/>
              <w:ind w:left="113" w:right="748" w:hanging="4"/>
            </w:pPr>
            <w:r>
              <w:rPr>
                <w:rFonts w:ascii="Times New Roman" w:hAnsi="Times New Roman" w:eastAsia="Times New Roman" w:cs="Times New Roman"/>
                <w:spacing w:val="7"/>
              </w:rPr>
              <w:t>2.</w:t>
            </w:r>
            <w:r>
              <w:rPr>
                <w:spacing w:val="7"/>
              </w:rPr>
              <w:t>个别批次物料存放不符合离墙离地要求。</w:t>
            </w:r>
            <w:r>
              <w:rPr>
                <w:spacing w:val="5"/>
              </w:rPr>
              <w:t xml:space="preserve"> </w:t>
            </w:r>
            <w:r>
              <w:rPr>
                <w:rFonts w:ascii="Times New Roman" w:hAnsi="Times New Roman" w:eastAsia="Times New Roman" w:cs="Times New Roman"/>
                <w:spacing w:val="7"/>
              </w:rPr>
              <w:t>3.</w:t>
            </w:r>
            <w:r>
              <w:rPr>
                <w:spacing w:val="7"/>
              </w:rPr>
              <w:t>个别批次物料标识不规范。</w:t>
            </w:r>
          </w:p>
        </w:tc>
        <w:tc>
          <w:tcPr>
            <w:tcW w:w="566" w:type="dxa"/>
            <w:vAlign w:val="top"/>
          </w:tcPr>
          <w:p>
            <w:pPr>
              <w:spacing w:line="282" w:lineRule="auto"/>
              <w:rPr>
                <w:rFonts w:ascii="Arial"/>
                <w:sz w:val="21"/>
              </w:rPr>
            </w:pPr>
          </w:p>
          <w:p>
            <w:pPr>
              <w:spacing w:before="57"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rPr>
                <w:rFonts w:ascii="Arial"/>
                <w:sz w:val="21"/>
              </w:rPr>
            </w:pPr>
          </w:p>
        </w:tc>
        <w:tc>
          <w:tcPr>
            <w:tcW w:w="1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635" w:type="dxa"/>
            <w:vMerge w:val="continue"/>
            <w:tcBorders>
              <w:top w:val="nil"/>
            </w:tcBorders>
            <w:vAlign w:val="top"/>
          </w:tcPr>
          <w:p>
            <w:pPr>
              <w:rPr>
                <w:rFonts w:ascii="Arial"/>
                <w:sz w:val="21"/>
              </w:rPr>
            </w:pPr>
          </w:p>
        </w:tc>
        <w:tc>
          <w:tcPr>
            <w:tcW w:w="810" w:type="dxa"/>
            <w:vMerge w:val="continue"/>
            <w:tcBorders>
              <w:top w:val="nil"/>
            </w:tcBorders>
            <w:vAlign w:val="top"/>
          </w:tcPr>
          <w:p>
            <w:pPr>
              <w:rPr>
                <w:rFonts w:ascii="Arial"/>
                <w:sz w:val="21"/>
              </w:rPr>
            </w:pPr>
          </w:p>
        </w:tc>
        <w:tc>
          <w:tcPr>
            <w:tcW w:w="4525" w:type="dxa"/>
            <w:vMerge w:val="continue"/>
            <w:tcBorders>
              <w:top w:val="nil"/>
            </w:tcBorders>
            <w:vAlign w:val="top"/>
          </w:tcPr>
          <w:p>
            <w:pPr>
              <w:rPr>
                <w:rFonts w:ascii="Arial"/>
                <w:sz w:val="21"/>
              </w:rPr>
            </w:pPr>
          </w:p>
        </w:tc>
        <w:tc>
          <w:tcPr>
            <w:tcW w:w="4760" w:type="dxa"/>
            <w:vAlign w:val="top"/>
          </w:tcPr>
          <w:p>
            <w:pPr>
              <w:pStyle w:val="6"/>
              <w:spacing w:before="36" w:line="243" w:lineRule="auto"/>
              <w:ind w:left="119" w:right="106" w:firstLine="9"/>
            </w:pPr>
            <w:r>
              <w:rPr>
                <w:rFonts w:ascii="Times New Roman" w:hAnsi="Times New Roman" w:eastAsia="Times New Roman" w:cs="Times New Roman"/>
                <w:spacing w:val="7"/>
              </w:rPr>
              <w:t>1.</w:t>
            </w:r>
            <w:r>
              <w:rPr>
                <w:spacing w:val="7"/>
              </w:rPr>
              <w:t>物料未按规定分库或分区存放现象普遍，原料、</w:t>
            </w:r>
            <w:r>
              <w:rPr>
                <w:spacing w:val="6"/>
              </w:rPr>
              <w:t xml:space="preserve"> </w:t>
            </w:r>
            <w:r>
              <w:rPr>
                <w:spacing w:val="5"/>
              </w:rPr>
              <w:t>半成品、成品、包装材料等与清洁剂、消毒剂、杀</w:t>
            </w:r>
            <w:r>
              <w:rPr>
                <w:spacing w:val="17"/>
              </w:rPr>
              <w:t xml:space="preserve"> </w:t>
            </w:r>
            <w:r>
              <w:rPr>
                <w:spacing w:val="8"/>
              </w:rPr>
              <w:t>虫剂、润滑剂、燃料等物料未分隔存放。</w:t>
            </w:r>
          </w:p>
          <w:p>
            <w:pPr>
              <w:pStyle w:val="6"/>
              <w:spacing w:before="26" w:line="228" w:lineRule="auto"/>
              <w:ind w:left="109"/>
            </w:pPr>
            <w:r>
              <w:rPr>
                <w:rFonts w:ascii="Times New Roman" w:hAnsi="Times New Roman" w:eastAsia="Times New Roman" w:cs="Times New Roman"/>
                <w:spacing w:val="8"/>
              </w:rPr>
              <w:t>2.</w:t>
            </w:r>
            <w:r>
              <w:rPr>
                <w:spacing w:val="8"/>
              </w:rPr>
              <w:t>物料不离墙离地存放的现象普遍。</w:t>
            </w:r>
          </w:p>
          <w:p>
            <w:pPr>
              <w:pStyle w:val="6"/>
              <w:spacing w:before="24" w:line="238" w:lineRule="auto"/>
              <w:ind w:left="108" w:right="117" w:firstLine="5"/>
            </w:pPr>
            <w:r>
              <w:rPr>
                <w:rFonts w:ascii="Times New Roman" w:hAnsi="Times New Roman" w:eastAsia="Times New Roman" w:cs="Times New Roman"/>
                <w:spacing w:val="7"/>
              </w:rPr>
              <w:t>3.</w:t>
            </w:r>
            <w:r>
              <w:rPr>
                <w:spacing w:val="7"/>
              </w:rPr>
              <w:t>物料无标识或标识混乱，存在误用、错用风险。</w:t>
            </w:r>
            <w:r>
              <w:rPr>
                <w:spacing w:val="12"/>
              </w:rPr>
              <w:t xml:space="preserve"> </w:t>
            </w:r>
            <w:r>
              <w:rPr>
                <w:rFonts w:ascii="Times New Roman" w:hAnsi="Times New Roman" w:eastAsia="Times New Roman" w:cs="Times New Roman"/>
                <w:spacing w:val="8"/>
              </w:rPr>
              <w:t>4.</w:t>
            </w:r>
            <w:r>
              <w:rPr>
                <w:spacing w:val="8"/>
              </w:rPr>
              <w:t>危险化学品无专用仓库、罐区、贮存场所。</w:t>
            </w:r>
          </w:p>
        </w:tc>
        <w:tc>
          <w:tcPr>
            <w:tcW w:w="566" w:type="dxa"/>
            <w:vAlign w:val="top"/>
          </w:tcPr>
          <w:p>
            <w:pPr>
              <w:spacing w:line="347" w:lineRule="auto"/>
              <w:rPr>
                <w:rFonts w:ascii="Arial"/>
                <w:sz w:val="21"/>
              </w:rPr>
            </w:pPr>
          </w:p>
          <w:p>
            <w:pPr>
              <w:spacing w:line="347" w:lineRule="auto"/>
              <w:rPr>
                <w:rFonts w:ascii="Arial"/>
                <w:sz w:val="21"/>
              </w:rPr>
            </w:pPr>
          </w:p>
          <w:p>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99" w:type="dxa"/>
            <w:vAlign w:val="top"/>
          </w:tcPr>
          <w:p>
            <w:pPr>
              <w:rPr>
                <w:rFonts w:ascii="Arial"/>
                <w:sz w:val="21"/>
              </w:rPr>
            </w:pPr>
          </w:p>
        </w:tc>
        <w:tc>
          <w:tcPr>
            <w:tcW w:w="1583" w:type="dxa"/>
            <w:vAlign w:val="top"/>
          </w:tcPr>
          <w:p>
            <w:pPr>
              <w:rPr>
                <w:rFonts w:ascii="Arial"/>
                <w:sz w:val="21"/>
              </w:rPr>
            </w:pPr>
          </w:p>
        </w:tc>
      </w:tr>
    </w:tbl>
    <w:p>
      <w:pPr>
        <w:spacing w:before="287" w:line="227" w:lineRule="auto"/>
        <w:ind w:left="5380"/>
        <w:outlineLvl w:val="0"/>
        <w:rPr>
          <w:rFonts w:ascii="黑体" w:hAnsi="黑体" w:eastAsia="黑体" w:cs="黑体"/>
          <w:sz w:val="31"/>
          <w:szCs w:val="31"/>
        </w:rPr>
      </w:pPr>
      <w:r>
        <w:rPr>
          <w:rFonts w:ascii="黑体" w:hAnsi="黑体" w:eastAsia="黑体" w:cs="黑体"/>
          <w:spacing w:val="3"/>
          <w:sz w:val="31"/>
          <w:szCs w:val="31"/>
        </w:rPr>
        <w:t>二、设备设施（共</w:t>
      </w:r>
      <w:r>
        <w:rPr>
          <w:rFonts w:ascii="黑体" w:hAnsi="黑体" w:eastAsia="黑体" w:cs="黑体"/>
          <w:spacing w:val="-53"/>
          <w:sz w:val="31"/>
          <w:szCs w:val="31"/>
        </w:rPr>
        <w:t xml:space="preserve"> </w:t>
      </w:r>
      <w:r>
        <w:rPr>
          <w:rFonts w:ascii="Times New Roman" w:hAnsi="Times New Roman" w:eastAsia="Times New Roman" w:cs="Times New Roman"/>
          <w:spacing w:val="3"/>
          <w:sz w:val="31"/>
          <w:szCs w:val="31"/>
        </w:rPr>
        <w:t>36</w:t>
      </w:r>
      <w:r>
        <w:rPr>
          <w:rFonts w:ascii="Times New Roman" w:hAnsi="Times New Roman" w:eastAsia="Times New Roman" w:cs="Times New Roman"/>
          <w:spacing w:val="23"/>
          <w:sz w:val="31"/>
          <w:szCs w:val="31"/>
        </w:rPr>
        <w:t xml:space="preserve"> </w:t>
      </w:r>
      <w:r>
        <w:rPr>
          <w:rFonts w:ascii="黑体" w:hAnsi="黑体" w:eastAsia="黑体" w:cs="黑体"/>
          <w:spacing w:val="3"/>
          <w:sz w:val="31"/>
          <w:szCs w:val="31"/>
        </w:rPr>
        <w:t>分）</w:t>
      </w:r>
    </w:p>
    <w:p>
      <w:pPr>
        <w:spacing w:line="91" w:lineRule="exact"/>
      </w:pPr>
    </w:p>
    <w:tbl>
      <w:tblPr>
        <w:tblStyle w:val="5"/>
        <w:tblW w:w="14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40"/>
        <w:gridCol w:w="4528"/>
        <w:gridCol w:w="4768"/>
        <w:gridCol w:w="555"/>
        <w:gridCol w:w="1469"/>
        <w:gridCol w:w="1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20" w:type="dxa"/>
            <w:textDirection w:val="tbRlV"/>
            <w:vAlign w:val="top"/>
          </w:tcPr>
          <w:p>
            <w:pPr>
              <w:spacing w:before="203"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40" w:type="dxa"/>
            <w:vAlign w:val="top"/>
          </w:tcPr>
          <w:p>
            <w:pPr>
              <w:spacing w:before="36" w:line="234" w:lineRule="auto"/>
              <w:ind w:left="211" w:right="21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1"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23" w:type="dxa"/>
            <w:gridSpan w:val="2"/>
            <w:vAlign w:val="top"/>
          </w:tcPr>
          <w:p>
            <w:pPr>
              <w:spacing w:before="171" w:line="230" w:lineRule="auto"/>
              <w:ind w:left="2244"/>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71" w:line="231" w:lineRule="auto"/>
              <w:ind w:left="319"/>
              <w:rPr>
                <w:rFonts w:ascii="黑体" w:hAnsi="黑体" w:eastAsia="黑体" w:cs="黑体"/>
                <w:sz w:val="20"/>
                <w:szCs w:val="20"/>
              </w:rPr>
            </w:pPr>
            <w:r>
              <w:rPr>
                <w:rFonts w:ascii="黑体" w:hAnsi="黑体" w:eastAsia="黑体" w:cs="黑体"/>
                <w:spacing w:val="7"/>
                <w:sz w:val="20"/>
                <w:szCs w:val="20"/>
              </w:rPr>
              <w:t>核查得分</w:t>
            </w:r>
          </w:p>
        </w:tc>
        <w:tc>
          <w:tcPr>
            <w:tcW w:w="1594" w:type="dxa"/>
            <w:vAlign w:val="top"/>
          </w:tcPr>
          <w:p>
            <w:pPr>
              <w:spacing w:before="171" w:line="230" w:lineRule="auto"/>
              <w:ind w:left="381"/>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20"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840" w:type="dxa"/>
            <w:vMerge w:val="restart"/>
            <w:tcBorders>
              <w:bottom w:val="nil"/>
            </w:tcBorders>
            <w:vAlign w:val="top"/>
          </w:tcPr>
          <w:p>
            <w:pPr>
              <w:spacing w:line="433" w:lineRule="auto"/>
              <w:rPr>
                <w:rFonts w:ascii="Arial"/>
                <w:sz w:val="21"/>
              </w:rPr>
            </w:pPr>
          </w:p>
          <w:p>
            <w:pPr>
              <w:pStyle w:val="6"/>
              <w:spacing w:before="65" w:line="227" w:lineRule="auto"/>
              <w:ind w:left="225"/>
            </w:pPr>
            <w:r>
              <w:rPr>
                <w:spacing w:val="-2"/>
              </w:rPr>
              <w:t>生产</w:t>
            </w:r>
          </w:p>
          <w:p>
            <w:pPr>
              <w:pStyle w:val="6"/>
              <w:spacing w:before="32" w:line="226" w:lineRule="auto"/>
              <w:ind w:left="217"/>
            </w:pPr>
            <w:r>
              <w:rPr>
                <w:spacing w:val="2"/>
              </w:rPr>
              <w:t>和研</w:t>
            </w:r>
          </w:p>
          <w:p>
            <w:pPr>
              <w:pStyle w:val="6"/>
              <w:spacing w:before="35" w:line="227" w:lineRule="auto"/>
              <w:ind w:left="212"/>
            </w:pPr>
            <w:r>
              <w:rPr>
                <w:spacing w:val="4"/>
              </w:rPr>
              <w:t>发设</w:t>
            </w:r>
          </w:p>
          <w:p>
            <w:pPr>
              <w:pStyle w:val="6"/>
              <w:spacing w:before="34" w:line="228" w:lineRule="auto"/>
              <w:ind w:left="320"/>
            </w:pPr>
            <w:r>
              <w:t>备</w:t>
            </w:r>
          </w:p>
        </w:tc>
        <w:tc>
          <w:tcPr>
            <w:tcW w:w="4528" w:type="dxa"/>
            <w:vMerge w:val="restart"/>
            <w:tcBorders>
              <w:bottom w:val="nil"/>
            </w:tcBorders>
            <w:vAlign w:val="top"/>
          </w:tcPr>
          <w:p>
            <w:pPr>
              <w:spacing w:line="285" w:lineRule="auto"/>
              <w:rPr>
                <w:rFonts w:ascii="Arial"/>
                <w:sz w:val="21"/>
              </w:rPr>
            </w:pPr>
          </w:p>
          <w:p>
            <w:pPr>
              <w:spacing w:line="286" w:lineRule="auto"/>
              <w:rPr>
                <w:rFonts w:ascii="Arial"/>
                <w:sz w:val="21"/>
              </w:rPr>
            </w:pPr>
          </w:p>
          <w:p>
            <w:pPr>
              <w:pStyle w:val="6"/>
              <w:spacing w:before="65" w:line="249" w:lineRule="auto"/>
              <w:ind w:left="116" w:right="106" w:firstLine="11"/>
              <w:jc w:val="both"/>
            </w:pPr>
            <w:r>
              <w:rPr>
                <w:rFonts w:ascii="Times New Roman" w:hAnsi="Times New Roman" w:eastAsia="Times New Roman" w:cs="Times New Roman"/>
                <w:spacing w:val="6"/>
              </w:rPr>
              <w:t>1.</w:t>
            </w:r>
            <w:r>
              <w:rPr>
                <w:spacing w:val="6"/>
              </w:rPr>
              <w:t>应当配备与生产和研发的产品品种、数量相适</w:t>
            </w:r>
            <w:r>
              <w:rPr>
                <w:spacing w:val="5"/>
              </w:rPr>
              <w:t xml:space="preserve"> </w:t>
            </w:r>
            <w:r>
              <w:rPr>
                <w:spacing w:val="4"/>
              </w:rPr>
              <w:t>应的生产和研发设备，设备的性能和精度应当满</w:t>
            </w:r>
            <w:r>
              <w:rPr>
                <w:spacing w:val="14"/>
              </w:rPr>
              <w:t xml:space="preserve"> </w:t>
            </w:r>
            <w:r>
              <w:rPr>
                <w:spacing w:val="7"/>
              </w:rPr>
              <w:t>足生产加工的要求。</w:t>
            </w:r>
          </w:p>
        </w:tc>
        <w:tc>
          <w:tcPr>
            <w:tcW w:w="4768" w:type="dxa"/>
            <w:vAlign w:val="top"/>
          </w:tcPr>
          <w:p>
            <w:pPr>
              <w:pStyle w:val="6"/>
              <w:spacing w:before="73" w:line="229" w:lineRule="auto"/>
              <w:ind w:left="122"/>
            </w:pPr>
            <w:r>
              <w:rPr>
                <w:spacing w:val="5"/>
              </w:rPr>
              <w:t>符合规定要求。</w:t>
            </w:r>
          </w:p>
        </w:tc>
        <w:tc>
          <w:tcPr>
            <w:tcW w:w="555" w:type="dxa"/>
            <w:vAlign w:val="top"/>
          </w:tcPr>
          <w:p>
            <w:pPr>
              <w:spacing w:before="109"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5" w:line="243" w:lineRule="auto"/>
              <w:ind w:left="120" w:right="103" w:firstLine="8"/>
            </w:pPr>
            <w:r>
              <w:rPr>
                <w:rFonts w:ascii="Times New Roman" w:hAnsi="Times New Roman" w:eastAsia="Times New Roman" w:cs="Times New Roman"/>
                <w:spacing w:val="7"/>
              </w:rPr>
              <w:t>1.</w:t>
            </w:r>
            <w:r>
              <w:rPr>
                <w:spacing w:val="7"/>
              </w:rPr>
              <w:t>具备满足产品生产工艺和研发所需的设备，但个</w:t>
            </w:r>
            <w:r>
              <w:rPr>
                <w:spacing w:val="18"/>
              </w:rPr>
              <w:t xml:space="preserve"> </w:t>
            </w:r>
            <w:r>
              <w:rPr>
                <w:spacing w:val="8"/>
              </w:rPr>
              <w:t>别设备的性能和精度略有不足。</w:t>
            </w:r>
          </w:p>
          <w:p>
            <w:pPr>
              <w:pStyle w:val="6"/>
              <w:spacing w:before="32" w:line="244" w:lineRule="auto"/>
              <w:ind w:left="119" w:right="103" w:hanging="11"/>
            </w:pPr>
            <w:r>
              <w:rPr>
                <w:rFonts w:ascii="Times New Roman" w:hAnsi="Times New Roman" w:eastAsia="Times New Roman" w:cs="Times New Roman"/>
                <w:spacing w:val="8"/>
              </w:rPr>
              <w:t>2.</w:t>
            </w:r>
            <w:r>
              <w:rPr>
                <w:spacing w:val="8"/>
              </w:rPr>
              <w:t>使用敞开式车间的，对敞开式车间物料添加口和</w:t>
            </w:r>
            <w:r>
              <w:rPr>
                <w:spacing w:val="15"/>
              </w:rPr>
              <w:t xml:space="preserve"> </w:t>
            </w:r>
            <w:r>
              <w:rPr>
                <w:spacing w:val="8"/>
              </w:rPr>
              <w:t>产品灌装处安全防护存在瑕疵。</w:t>
            </w:r>
          </w:p>
          <w:p>
            <w:pPr>
              <w:pStyle w:val="6"/>
              <w:spacing w:before="32" w:line="235" w:lineRule="auto"/>
              <w:ind w:left="124" w:right="106" w:hanging="12"/>
            </w:pPr>
            <w:r>
              <w:rPr>
                <w:rFonts w:ascii="Times New Roman" w:hAnsi="Times New Roman" w:eastAsia="Times New Roman" w:cs="Times New Roman"/>
                <w:spacing w:val="7"/>
              </w:rPr>
              <w:t>3.</w:t>
            </w:r>
            <w:r>
              <w:rPr>
                <w:rFonts w:ascii="Times New Roman" w:hAnsi="Times New Roman" w:eastAsia="Times New Roman" w:cs="Times New Roman"/>
                <w:spacing w:val="-18"/>
              </w:rPr>
              <w:t xml:space="preserve"> </w:t>
            </w:r>
            <w:r>
              <w:rPr>
                <w:spacing w:val="7"/>
              </w:rPr>
              <w:t>与设备连接的主要固定管道，标明管内物料流向</w:t>
            </w:r>
            <w:r>
              <w:t xml:space="preserve"> </w:t>
            </w:r>
            <w:r>
              <w:rPr>
                <w:spacing w:val="5"/>
              </w:rPr>
              <w:t>等标识存在瑕疵。</w:t>
            </w:r>
          </w:p>
        </w:tc>
        <w:tc>
          <w:tcPr>
            <w:tcW w:w="555" w:type="dxa"/>
            <w:vAlign w:val="top"/>
          </w:tcPr>
          <w:p>
            <w:pPr>
              <w:spacing w:line="359" w:lineRule="auto"/>
              <w:rPr>
                <w:rFonts w:ascii="Arial"/>
                <w:sz w:val="21"/>
              </w:rPr>
            </w:pPr>
          </w:p>
          <w:p>
            <w:pPr>
              <w:spacing w:line="359" w:lineRule="auto"/>
              <w:rPr>
                <w:rFonts w:ascii="Arial"/>
                <w:sz w:val="21"/>
              </w:rPr>
            </w:pPr>
          </w:p>
          <w:p>
            <w:pPr>
              <w:spacing w:before="57"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6" w:type="default"/>
          <w:pgSz w:w="15840" w:h="12240"/>
          <w:pgMar w:top="1040" w:right="418" w:bottom="897" w:left="1038" w:header="0" w:footer="723" w:gutter="0"/>
          <w:cols w:space="720" w:num="1"/>
        </w:sectPr>
      </w:pPr>
    </w:p>
    <w:p>
      <w:pPr>
        <w:spacing w:before="12"/>
      </w:pPr>
    </w:p>
    <w:p>
      <w:pPr>
        <w:spacing w:before="12"/>
      </w:pPr>
    </w:p>
    <w:p>
      <w:pPr>
        <w:spacing w:before="11"/>
      </w:pPr>
    </w:p>
    <w:tbl>
      <w:tblPr>
        <w:tblStyle w:val="5"/>
        <w:tblW w:w="14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40"/>
        <w:gridCol w:w="4528"/>
        <w:gridCol w:w="4768"/>
        <w:gridCol w:w="555"/>
        <w:gridCol w:w="1469"/>
        <w:gridCol w:w="1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20" w:type="dxa"/>
            <w:textDirection w:val="tbRlV"/>
            <w:vAlign w:val="top"/>
          </w:tcPr>
          <w:p>
            <w:pPr>
              <w:spacing w:before="203"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40" w:type="dxa"/>
            <w:vAlign w:val="top"/>
          </w:tcPr>
          <w:p>
            <w:pPr>
              <w:spacing w:before="37" w:line="234" w:lineRule="auto"/>
              <w:ind w:left="211" w:right="21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1"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23" w:type="dxa"/>
            <w:gridSpan w:val="2"/>
            <w:vAlign w:val="top"/>
          </w:tcPr>
          <w:p>
            <w:pPr>
              <w:spacing w:before="171" w:line="230" w:lineRule="auto"/>
              <w:ind w:left="2244"/>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71" w:line="231" w:lineRule="auto"/>
              <w:ind w:left="319"/>
              <w:rPr>
                <w:rFonts w:ascii="黑体" w:hAnsi="黑体" w:eastAsia="黑体" w:cs="黑体"/>
                <w:sz w:val="20"/>
                <w:szCs w:val="20"/>
              </w:rPr>
            </w:pPr>
            <w:r>
              <w:rPr>
                <w:rFonts w:ascii="黑体" w:hAnsi="黑体" w:eastAsia="黑体" w:cs="黑体"/>
                <w:spacing w:val="7"/>
                <w:sz w:val="20"/>
                <w:szCs w:val="20"/>
              </w:rPr>
              <w:t>核查得分</w:t>
            </w:r>
          </w:p>
        </w:tc>
        <w:tc>
          <w:tcPr>
            <w:tcW w:w="1594" w:type="dxa"/>
            <w:vAlign w:val="top"/>
          </w:tcPr>
          <w:p>
            <w:pPr>
              <w:spacing w:before="171" w:line="230" w:lineRule="auto"/>
              <w:ind w:left="381"/>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0" w:type="dxa"/>
            <w:vMerge w:val="restart"/>
            <w:tcBorders>
              <w:bottom w:val="nil"/>
            </w:tcBorders>
            <w:vAlign w:val="top"/>
          </w:tcPr>
          <w:p>
            <w:pPr>
              <w:rPr>
                <w:rFonts w:ascii="Arial"/>
                <w:sz w:val="21"/>
              </w:rPr>
            </w:pPr>
          </w:p>
        </w:tc>
        <w:tc>
          <w:tcPr>
            <w:tcW w:w="840" w:type="dxa"/>
            <w:vMerge w:val="restart"/>
            <w:tcBorders>
              <w:bottom w:val="nil"/>
            </w:tcBorders>
            <w:vAlign w:val="top"/>
          </w:tcPr>
          <w:p>
            <w:pPr>
              <w:rPr>
                <w:rFonts w:ascii="Arial"/>
                <w:sz w:val="21"/>
              </w:rPr>
            </w:pPr>
          </w:p>
        </w:tc>
        <w:tc>
          <w:tcPr>
            <w:tcW w:w="4528" w:type="dxa"/>
            <w:vAlign w:val="top"/>
          </w:tcPr>
          <w:p>
            <w:pPr>
              <w:rPr>
                <w:rFonts w:ascii="Arial"/>
                <w:sz w:val="21"/>
              </w:rPr>
            </w:pPr>
          </w:p>
        </w:tc>
        <w:tc>
          <w:tcPr>
            <w:tcW w:w="4768" w:type="dxa"/>
            <w:vAlign w:val="top"/>
          </w:tcPr>
          <w:p>
            <w:pPr>
              <w:pStyle w:val="6"/>
              <w:spacing w:before="45" w:line="251" w:lineRule="auto"/>
              <w:ind w:left="108" w:right="103" w:firstLine="20"/>
            </w:pPr>
            <w:r>
              <w:rPr>
                <w:rFonts w:ascii="Times New Roman" w:hAnsi="Times New Roman" w:eastAsia="Times New Roman" w:cs="Times New Roman"/>
                <w:spacing w:val="7"/>
              </w:rPr>
              <w:t>1.</w:t>
            </w:r>
            <w:r>
              <w:rPr>
                <w:rFonts w:ascii="Times New Roman" w:hAnsi="Times New Roman" w:eastAsia="Times New Roman" w:cs="Times New Roman"/>
                <w:spacing w:val="-29"/>
              </w:rPr>
              <w:t xml:space="preserve"> </w:t>
            </w:r>
            <w:r>
              <w:rPr>
                <w:spacing w:val="7"/>
              </w:rPr>
              <w:t>不具备满足产品的生产工艺和研发所需的</w:t>
            </w:r>
            <w:r>
              <w:rPr>
                <w:spacing w:val="6"/>
              </w:rPr>
              <w:t>设备。</w:t>
            </w:r>
            <w:r>
              <w:t xml:space="preserve"> </w:t>
            </w:r>
            <w:r>
              <w:rPr>
                <w:rFonts w:ascii="Times New Roman" w:hAnsi="Times New Roman" w:eastAsia="Times New Roman" w:cs="Times New Roman"/>
                <w:spacing w:val="7"/>
              </w:rPr>
              <w:t>2.</w:t>
            </w:r>
            <w:r>
              <w:rPr>
                <w:rFonts w:ascii="Times New Roman" w:hAnsi="Times New Roman" w:eastAsia="Times New Roman" w:cs="Times New Roman"/>
                <w:spacing w:val="-12"/>
              </w:rPr>
              <w:t xml:space="preserve"> </w:t>
            </w:r>
            <w:r>
              <w:rPr>
                <w:spacing w:val="7"/>
              </w:rPr>
              <w:t>生产设备的数量、性能不能满足生产加工要求。</w:t>
            </w:r>
            <w:r>
              <w:t xml:space="preserve"> </w:t>
            </w:r>
            <w:r>
              <w:rPr>
                <w:rFonts w:ascii="Times New Roman" w:hAnsi="Times New Roman" w:eastAsia="Times New Roman" w:cs="Times New Roman"/>
                <w:spacing w:val="8"/>
              </w:rPr>
              <w:t>3.</w:t>
            </w:r>
            <w:r>
              <w:rPr>
                <w:spacing w:val="8"/>
              </w:rPr>
              <w:t>使用敞开式车间的，没有对敞开式车间物料添加</w:t>
            </w:r>
            <w:r>
              <w:rPr>
                <w:spacing w:val="15"/>
              </w:rPr>
              <w:t xml:space="preserve"> </w:t>
            </w:r>
            <w:r>
              <w:rPr>
                <w:spacing w:val="8"/>
              </w:rPr>
              <w:t>口和产品灌装处进行安全防护。</w:t>
            </w:r>
          </w:p>
          <w:p>
            <w:pPr>
              <w:pStyle w:val="6"/>
              <w:spacing w:before="31" w:line="235" w:lineRule="auto"/>
              <w:ind w:left="117" w:right="106" w:hanging="10"/>
            </w:pPr>
            <w:r>
              <w:rPr>
                <w:rFonts w:ascii="Times New Roman" w:hAnsi="Times New Roman" w:eastAsia="Times New Roman" w:cs="Times New Roman"/>
                <w:spacing w:val="7"/>
              </w:rPr>
              <w:t>4.</w:t>
            </w:r>
            <w:r>
              <w:rPr>
                <w:rFonts w:ascii="Times New Roman" w:hAnsi="Times New Roman" w:eastAsia="Times New Roman" w:cs="Times New Roman"/>
                <w:spacing w:val="-13"/>
              </w:rPr>
              <w:t xml:space="preserve"> </w:t>
            </w:r>
            <w:r>
              <w:rPr>
                <w:spacing w:val="7"/>
              </w:rPr>
              <w:t>与设备连接的主要固定管道，没有标明管内物料</w:t>
            </w:r>
            <w:r>
              <w:t xml:space="preserve"> </w:t>
            </w:r>
            <w:r>
              <w:rPr>
                <w:spacing w:val="3"/>
              </w:rPr>
              <w:t>流向等。</w:t>
            </w:r>
          </w:p>
        </w:tc>
        <w:tc>
          <w:tcPr>
            <w:tcW w:w="555" w:type="dxa"/>
            <w:vAlign w:val="top"/>
          </w:tcPr>
          <w:p>
            <w:pPr>
              <w:spacing w:line="359" w:lineRule="auto"/>
              <w:rPr>
                <w:rFonts w:ascii="Arial"/>
                <w:sz w:val="21"/>
              </w:rPr>
            </w:pPr>
          </w:p>
          <w:p>
            <w:pPr>
              <w:spacing w:line="360" w:lineRule="auto"/>
              <w:rPr>
                <w:rFonts w:ascii="Arial"/>
                <w:sz w:val="21"/>
              </w:rPr>
            </w:pPr>
          </w:p>
          <w:p>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restart"/>
            <w:tcBorders>
              <w:bottom w:val="nil"/>
            </w:tcBorders>
            <w:vAlign w:val="top"/>
          </w:tcPr>
          <w:p>
            <w:pPr>
              <w:spacing w:line="298" w:lineRule="auto"/>
              <w:rPr>
                <w:rFonts w:ascii="Arial"/>
                <w:sz w:val="21"/>
              </w:rPr>
            </w:pPr>
          </w:p>
          <w:p>
            <w:pPr>
              <w:pStyle w:val="6"/>
              <w:spacing w:before="65" w:line="251" w:lineRule="auto"/>
              <w:ind w:left="115" w:right="101" w:hanging="8"/>
              <w:jc w:val="both"/>
            </w:pPr>
            <w:r>
              <w:rPr>
                <w:rFonts w:ascii="Times New Roman" w:hAnsi="Times New Roman" w:eastAsia="Times New Roman" w:cs="Times New Roman"/>
                <w:spacing w:val="6"/>
              </w:rPr>
              <w:t>2.</w:t>
            </w:r>
            <w:r>
              <w:rPr>
                <w:rFonts w:ascii="Times New Roman" w:hAnsi="Times New Roman" w:eastAsia="Times New Roman" w:cs="Times New Roman"/>
                <w:spacing w:val="-20"/>
              </w:rPr>
              <w:t xml:space="preserve"> </w:t>
            </w:r>
            <w:r>
              <w:rPr>
                <w:spacing w:val="6"/>
              </w:rPr>
              <w:t>生产设备清洁卫生，直接接触原料、半成品、</w:t>
            </w:r>
            <w:r>
              <w:t xml:space="preserve"> </w:t>
            </w:r>
            <w:r>
              <w:rPr>
                <w:spacing w:val="4"/>
              </w:rPr>
              <w:t>成品的设备、工器具材质应当无毒、无味、抗腐</w:t>
            </w:r>
            <w:r>
              <w:rPr>
                <w:spacing w:val="12"/>
              </w:rPr>
              <w:t xml:space="preserve"> </w:t>
            </w:r>
            <w:r>
              <w:rPr>
                <w:spacing w:val="4"/>
              </w:rPr>
              <w:t>蚀、不易脱落，表面光滑、无吸收性，易于清洁</w:t>
            </w:r>
            <w:r>
              <w:rPr>
                <w:spacing w:val="12"/>
              </w:rPr>
              <w:t xml:space="preserve"> </w:t>
            </w:r>
            <w:r>
              <w:rPr>
                <w:spacing w:val="5"/>
              </w:rPr>
              <w:t>保养和消毒。</w:t>
            </w:r>
          </w:p>
        </w:tc>
        <w:tc>
          <w:tcPr>
            <w:tcW w:w="4768" w:type="dxa"/>
            <w:vAlign w:val="top"/>
          </w:tcPr>
          <w:p>
            <w:pPr>
              <w:pStyle w:val="6"/>
              <w:spacing w:before="76" w:line="229" w:lineRule="auto"/>
              <w:ind w:left="122"/>
            </w:pPr>
            <w:r>
              <w:rPr>
                <w:spacing w:val="5"/>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45" w:line="235" w:lineRule="auto"/>
              <w:ind w:left="108" w:right="1803" w:firstLine="20"/>
            </w:pPr>
            <w:r>
              <w:rPr>
                <w:rFonts w:ascii="Times New Roman" w:hAnsi="Times New Roman" w:eastAsia="Times New Roman" w:cs="Times New Roman"/>
                <w:spacing w:val="5"/>
              </w:rPr>
              <w:t>1.</w:t>
            </w:r>
            <w:r>
              <w:rPr>
                <w:spacing w:val="5"/>
              </w:rPr>
              <w:t>设备清洁卫生程度略有不足。</w:t>
            </w:r>
            <w:r>
              <w:rPr>
                <w:spacing w:val="4"/>
              </w:rPr>
              <w:t xml:space="preserve"> </w:t>
            </w:r>
            <w:r>
              <w:rPr>
                <w:rFonts w:ascii="Times New Roman" w:hAnsi="Times New Roman" w:eastAsia="Times New Roman" w:cs="Times New Roman"/>
                <w:spacing w:val="7"/>
              </w:rPr>
              <w:t>2.</w:t>
            </w:r>
            <w:r>
              <w:rPr>
                <w:spacing w:val="7"/>
              </w:rPr>
              <w:t>设备表面结构略有不足。</w:t>
            </w:r>
          </w:p>
        </w:tc>
        <w:tc>
          <w:tcPr>
            <w:tcW w:w="555" w:type="dxa"/>
            <w:vAlign w:val="top"/>
          </w:tcPr>
          <w:p>
            <w:pPr>
              <w:spacing w:before="220"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4" w:line="231" w:lineRule="auto"/>
              <w:ind w:left="128"/>
            </w:pPr>
            <w:r>
              <w:rPr>
                <w:rFonts w:ascii="Times New Roman" w:hAnsi="Times New Roman" w:eastAsia="Times New Roman" w:cs="Times New Roman"/>
                <w:spacing w:val="4"/>
              </w:rPr>
              <w:t>1.</w:t>
            </w:r>
            <w:r>
              <w:rPr>
                <w:spacing w:val="4"/>
              </w:rPr>
              <w:t>设备严重不洁。</w:t>
            </w:r>
          </w:p>
          <w:p>
            <w:pPr>
              <w:pStyle w:val="6"/>
              <w:spacing w:before="30" w:line="235" w:lineRule="auto"/>
              <w:ind w:left="112" w:right="755" w:hanging="4"/>
            </w:pPr>
            <w:r>
              <w:rPr>
                <w:rFonts w:ascii="Times New Roman" w:hAnsi="Times New Roman" w:eastAsia="Times New Roman" w:cs="Times New Roman"/>
                <w:spacing w:val="7"/>
              </w:rPr>
              <w:t>2.</w:t>
            </w:r>
            <w:r>
              <w:rPr>
                <w:spacing w:val="7"/>
              </w:rPr>
              <w:t>设备结构存在较多不易清洁的卫生死角。</w:t>
            </w:r>
            <w:r>
              <w:rPr>
                <w:spacing w:val="8"/>
              </w:rPr>
              <w:t xml:space="preserve"> </w:t>
            </w:r>
            <w:r>
              <w:rPr>
                <w:rFonts w:ascii="Times New Roman" w:hAnsi="Times New Roman" w:eastAsia="Times New Roman" w:cs="Times New Roman"/>
                <w:spacing w:val="7"/>
              </w:rPr>
              <w:t>3.</w:t>
            </w:r>
            <w:r>
              <w:rPr>
                <w:spacing w:val="7"/>
              </w:rPr>
              <w:t>设备材质不符合规定要求。</w:t>
            </w:r>
          </w:p>
        </w:tc>
        <w:tc>
          <w:tcPr>
            <w:tcW w:w="555" w:type="dxa"/>
            <w:vAlign w:val="top"/>
          </w:tcPr>
          <w:p>
            <w:pPr>
              <w:spacing w:line="301"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restart"/>
            <w:tcBorders>
              <w:bottom w:val="nil"/>
            </w:tcBorders>
            <w:vAlign w:val="top"/>
          </w:tcPr>
          <w:p>
            <w:pPr>
              <w:spacing w:line="359" w:lineRule="auto"/>
              <w:rPr>
                <w:rFonts w:ascii="Arial"/>
                <w:sz w:val="21"/>
              </w:rPr>
            </w:pPr>
          </w:p>
          <w:p>
            <w:pPr>
              <w:spacing w:line="359" w:lineRule="auto"/>
              <w:rPr>
                <w:rFonts w:ascii="Arial"/>
                <w:sz w:val="21"/>
              </w:rPr>
            </w:pPr>
          </w:p>
          <w:p>
            <w:pPr>
              <w:pStyle w:val="6"/>
              <w:spacing w:before="65" w:line="248" w:lineRule="auto"/>
              <w:ind w:left="116" w:right="106" w:hanging="5"/>
              <w:jc w:val="both"/>
            </w:pPr>
            <w:r>
              <w:rPr>
                <w:rFonts w:ascii="Times New Roman" w:hAnsi="Times New Roman" w:eastAsia="Times New Roman" w:cs="Times New Roman"/>
                <w:spacing w:val="5"/>
              </w:rPr>
              <w:t>3.</w:t>
            </w:r>
            <w:r>
              <w:rPr>
                <w:rFonts w:ascii="Times New Roman" w:hAnsi="Times New Roman" w:eastAsia="Times New Roman" w:cs="Times New Roman"/>
                <w:spacing w:val="-7"/>
              </w:rPr>
              <w:t xml:space="preserve"> </w:t>
            </w:r>
            <w:r>
              <w:rPr>
                <w:spacing w:val="5"/>
              </w:rPr>
              <w:t>生产设备维修保养良好，并做好记录。用于监</w:t>
            </w:r>
            <w:r>
              <w:t xml:space="preserve"> </w:t>
            </w:r>
            <w:r>
              <w:rPr>
                <w:spacing w:val="4"/>
              </w:rPr>
              <w:t>测、控制、记录的设备应当定期校准、维护。停</w:t>
            </w:r>
            <w:r>
              <w:rPr>
                <w:spacing w:val="14"/>
              </w:rPr>
              <w:t xml:space="preserve"> </w:t>
            </w:r>
            <w:r>
              <w:rPr>
                <w:spacing w:val="8"/>
              </w:rPr>
              <w:t>用的设备需标注清晰，不影响正常生产。</w:t>
            </w:r>
          </w:p>
        </w:tc>
        <w:tc>
          <w:tcPr>
            <w:tcW w:w="4768" w:type="dxa"/>
            <w:vAlign w:val="top"/>
          </w:tcPr>
          <w:p>
            <w:pPr>
              <w:pStyle w:val="6"/>
              <w:spacing w:before="76" w:line="229" w:lineRule="auto"/>
              <w:ind w:left="122"/>
            </w:pPr>
            <w:r>
              <w:rPr>
                <w:spacing w:val="5"/>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45" w:line="235" w:lineRule="auto"/>
              <w:ind w:left="108" w:right="544" w:firstLine="20"/>
            </w:pPr>
            <w:r>
              <w:rPr>
                <w:rFonts w:ascii="Times New Roman" w:hAnsi="Times New Roman" w:eastAsia="Times New Roman" w:cs="Times New Roman"/>
                <w:spacing w:val="6"/>
              </w:rPr>
              <w:t>1.</w:t>
            </w:r>
            <w:r>
              <w:rPr>
                <w:spacing w:val="6"/>
              </w:rPr>
              <w:t>个别设备维修保养、标识、记录略有不足。</w:t>
            </w:r>
            <w:r>
              <w:rPr>
                <w:spacing w:val="13"/>
              </w:rPr>
              <w:t xml:space="preserve"> </w:t>
            </w:r>
            <w:r>
              <w:rPr>
                <w:rFonts w:ascii="Times New Roman" w:hAnsi="Times New Roman" w:eastAsia="Times New Roman" w:cs="Times New Roman"/>
                <w:spacing w:val="8"/>
              </w:rPr>
              <w:t>2.</w:t>
            </w:r>
            <w:r>
              <w:rPr>
                <w:spacing w:val="8"/>
              </w:rPr>
              <w:t>个别监测设备未及时校准。</w:t>
            </w:r>
          </w:p>
        </w:tc>
        <w:tc>
          <w:tcPr>
            <w:tcW w:w="555" w:type="dxa"/>
            <w:vAlign w:val="top"/>
          </w:tcPr>
          <w:p>
            <w:pPr>
              <w:spacing w:before="22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7" w:line="245" w:lineRule="auto"/>
              <w:ind w:left="117" w:right="106" w:firstLine="11"/>
            </w:pPr>
            <w:r>
              <w:rPr>
                <w:rFonts w:ascii="Times New Roman" w:hAnsi="Times New Roman" w:eastAsia="Times New Roman" w:cs="Times New Roman"/>
                <w:spacing w:val="16"/>
              </w:rPr>
              <w:t>1.</w:t>
            </w:r>
            <w:r>
              <w:rPr>
                <w:rFonts w:ascii="Times New Roman" w:hAnsi="Times New Roman" w:eastAsia="Times New Roman" w:cs="Times New Roman"/>
                <w:spacing w:val="-25"/>
              </w:rPr>
              <w:t xml:space="preserve"> </w:t>
            </w:r>
            <w:r>
              <w:rPr>
                <w:spacing w:val="16"/>
              </w:rPr>
              <w:t>设备未列入维修保养计划或无维修保养记录的</w:t>
            </w:r>
            <w:r>
              <w:t xml:space="preserve"> </w:t>
            </w:r>
            <w:r>
              <w:rPr>
                <w:spacing w:val="4"/>
              </w:rPr>
              <w:t>现象普遍。</w:t>
            </w:r>
          </w:p>
          <w:p>
            <w:pPr>
              <w:pStyle w:val="6"/>
              <w:spacing w:before="27" w:line="245" w:lineRule="auto"/>
              <w:ind w:left="123" w:right="106" w:hanging="15"/>
            </w:pPr>
            <w:r>
              <w:rPr>
                <w:rFonts w:ascii="Times New Roman" w:hAnsi="Times New Roman" w:eastAsia="Times New Roman" w:cs="Times New Roman"/>
                <w:spacing w:val="16"/>
              </w:rPr>
              <w:t>2.</w:t>
            </w:r>
            <w:r>
              <w:rPr>
                <w:rFonts w:ascii="Times New Roman" w:hAnsi="Times New Roman" w:eastAsia="Times New Roman" w:cs="Times New Roman"/>
                <w:spacing w:val="-5"/>
              </w:rPr>
              <w:t xml:space="preserve"> </w:t>
            </w:r>
            <w:r>
              <w:rPr>
                <w:spacing w:val="16"/>
              </w:rPr>
              <w:t>监测设备的精度、校准检定等无法满足规定要</w:t>
            </w:r>
            <w:r>
              <w:t xml:space="preserve"> </w:t>
            </w:r>
            <w:r>
              <w:rPr>
                <w:spacing w:val="-6"/>
              </w:rPr>
              <w:t>求。</w:t>
            </w:r>
          </w:p>
          <w:p>
            <w:pPr>
              <w:pStyle w:val="6"/>
              <w:spacing w:before="30" w:line="209" w:lineRule="auto"/>
              <w:ind w:left="112"/>
            </w:pPr>
            <w:r>
              <w:rPr>
                <w:rFonts w:ascii="Times New Roman" w:hAnsi="Times New Roman" w:eastAsia="Times New Roman" w:cs="Times New Roman"/>
                <w:spacing w:val="7"/>
              </w:rPr>
              <w:t>3.</w:t>
            </w:r>
            <w:r>
              <w:rPr>
                <w:spacing w:val="7"/>
              </w:rPr>
              <w:t>设备无标识，存在误用风险。</w:t>
            </w:r>
          </w:p>
        </w:tc>
        <w:tc>
          <w:tcPr>
            <w:tcW w:w="555" w:type="dxa"/>
            <w:vAlign w:val="top"/>
          </w:tcPr>
          <w:p>
            <w:pPr>
              <w:spacing w:line="290" w:lineRule="auto"/>
              <w:rPr>
                <w:rFonts w:ascii="Arial"/>
                <w:sz w:val="21"/>
              </w:rPr>
            </w:pPr>
          </w:p>
          <w:p>
            <w:pPr>
              <w:spacing w:line="290"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840" w:type="dxa"/>
            <w:vMerge w:val="restart"/>
            <w:tcBorders>
              <w:bottom w:val="nil"/>
            </w:tcBorders>
            <w:vAlign w:val="top"/>
          </w:tcPr>
          <w:p>
            <w:pPr>
              <w:spacing w:line="289" w:lineRule="auto"/>
              <w:rPr>
                <w:rFonts w:ascii="Arial"/>
                <w:sz w:val="21"/>
              </w:rPr>
            </w:pPr>
          </w:p>
          <w:p>
            <w:pPr>
              <w:spacing w:line="290" w:lineRule="auto"/>
              <w:rPr>
                <w:rFonts w:ascii="Arial"/>
                <w:sz w:val="21"/>
              </w:rPr>
            </w:pPr>
          </w:p>
          <w:p>
            <w:pPr>
              <w:pStyle w:val="6"/>
              <w:spacing w:before="65" w:line="225" w:lineRule="auto"/>
              <w:ind w:left="208"/>
            </w:pPr>
            <w:r>
              <w:rPr>
                <w:spacing w:val="6"/>
              </w:rPr>
              <w:t>供排</w:t>
            </w:r>
          </w:p>
          <w:p>
            <w:pPr>
              <w:pStyle w:val="6"/>
              <w:spacing w:before="36" w:line="226" w:lineRule="auto"/>
              <w:ind w:left="211"/>
            </w:pPr>
            <w:r>
              <w:rPr>
                <w:spacing w:val="5"/>
              </w:rPr>
              <w:t>水设</w:t>
            </w:r>
          </w:p>
          <w:p>
            <w:pPr>
              <w:pStyle w:val="6"/>
              <w:spacing w:before="35" w:line="228" w:lineRule="auto"/>
              <w:ind w:left="318"/>
            </w:pPr>
            <w:r>
              <w:t>施</w:t>
            </w:r>
          </w:p>
        </w:tc>
        <w:tc>
          <w:tcPr>
            <w:tcW w:w="4528" w:type="dxa"/>
            <w:vMerge w:val="restart"/>
            <w:tcBorders>
              <w:bottom w:val="nil"/>
            </w:tcBorders>
            <w:vAlign w:val="top"/>
          </w:tcPr>
          <w:p>
            <w:pPr>
              <w:spacing w:line="299" w:lineRule="auto"/>
              <w:rPr>
                <w:rFonts w:ascii="Arial"/>
                <w:sz w:val="21"/>
              </w:rPr>
            </w:pPr>
          </w:p>
          <w:p>
            <w:pPr>
              <w:pStyle w:val="6"/>
              <w:spacing w:before="65" w:line="253" w:lineRule="auto"/>
              <w:ind w:left="116" w:right="105" w:firstLine="10"/>
              <w:jc w:val="both"/>
            </w:pPr>
            <w:r>
              <w:rPr>
                <w:rFonts w:ascii="Times New Roman" w:hAnsi="Times New Roman" w:eastAsia="Times New Roman" w:cs="Times New Roman"/>
                <w:spacing w:val="9"/>
              </w:rPr>
              <w:t>1.</w:t>
            </w:r>
            <w:r>
              <w:rPr>
                <w:spacing w:val="9"/>
              </w:rPr>
              <w:t>食品添加剂加工用水的水质应当符合</w:t>
            </w:r>
            <w:r>
              <w:rPr>
                <w:rFonts w:ascii="Times New Roman" w:hAnsi="Times New Roman" w:eastAsia="Times New Roman" w:cs="Times New Roman"/>
              </w:rPr>
              <w:t>GB</w:t>
            </w:r>
            <w:r>
              <w:rPr>
                <w:rFonts w:ascii="Times New Roman" w:hAnsi="Times New Roman" w:eastAsia="Times New Roman" w:cs="Times New Roman"/>
                <w:spacing w:val="9"/>
              </w:rPr>
              <w:t xml:space="preserve"> 5749</w:t>
            </w:r>
            <w:r>
              <w:rPr>
                <w:rFonts w:ascii="Times New Roman" w:hAnsi="Times New Roman" w:eastAsia="Times New Roman" w:cs="Times New Roman"/>
                <w:spacing w:val="3"/>
              </w:rPr>
              <w:t xml:space="preserve"> </w:t>
            </w:r>
            <w:r>
              <w:rPr>
                <w:spacing w:val="4"/>
              </w:rPr>
              <w:t>的规定，有特殊要求的应当符合相应规定。食品</w:t>
            </w:r>
            <w:r>
              <w:rPr>
                <w:spacing w:val="11"/>
              </w:rPr>
              <w:t xml:space="preserve"> </w:t>
            </w:r>
            <w:r>
              <w:rPr>
                <w:spacing w:val="14"/>
              </w:rPr>
              <w:t>添加剂加工用水与其他不与食品添加剂接触的</w:t>
            </w:r>
            <w:r>
              <w:rPr>
                <w:spacing w:val="18"/>
              </w:rPr>
              <w:t xml:space="preserve"> </w:t>
            </w:r>
            <w:r>
              <w:rPr>
                <w:spacing w:val="14"/>
              </w:rPr>
              <w:t>用水应当以完全分离的管路输送，避免交叉污</w:t>
            </w:r>
            <w:r>
              <w:rPr>
                <w:spacing w:val="18"/>
              </w:rPr>
              <w:t xml:space="preserve"> </w:t>
            </w:r>
            <w:r>
              <w:rPr>
                <w:spacing w:val="8"/>
              </w:rPr>
              <w:t>染。各管路系统应当明确标识以便区分。</w:t>
            </w:r>
          </w:p>
        </w:tc>
        <w:tc>
          <w:tcPr>
            <w:tcW w:w="4768" w:type="dxa"/>
            <w:vAlign w:val="top"/>
          </w:tcPr>
          <w:p>
            <w:pPr>
              <w:pStyle w:val="6"/>
              <w:spacing w:before="78" w:line="229" w:lineRule="auto"/>
              <w:ind w:left="122"/>
            </w:pPr>
            <w:r>
              <w:rPr>
                <w:spacing w:val="5"/>
              </w:rPr>
              <w:t>符合规定要求。</w:t>
            </w:r>
          </w:p>
        </w:tc>
        <w:tc>
          <w:tcPr>
            <w:tcW w:w="555" w:type="dxa"/>
            <w:vAlign w:val="top"/>
          </w:tcPr>
          <w:p>
            <w:pPr>
              <w:spacing w:before="113"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46" w:line="231" w:lineRule="auto"/>
              <w:ind w:left="128"/>
            </w:pPr>
            <w:r>
              <w:rPr>
                <w:rFonts w:ascii="Times New Roman" w:hAnsi="Times New Roman" w:eastAsia="Times New Roman" w:cs="Times New Roman"/>
                <w:spacing w:val="6"/>
              </w:rPr>
              <w:t>1.</w:t>
            </w:r>
            <w:r>
              <w:rPr>
                <w:spacing w:val="6"/>
              </w:rPr>
              <w:t>供水管路标识略有不足。</w:t>
            </w:r>
          </w:p>
          <w:p>
            <w:pPr>
              <w:pStyle w:val="6"/>
              <w:spacing w:before="30" w:line="234" w:lineRule="auto"/>
              <w:ind w:left="112" w:right="2015" w:hanging="4"/>
            </w:pPr>
            <w:r>
              <w:rPr>
                <w:rFonts w:ascii="Times New Roman" w:hAnsi="Times New Roman" w:eastAsia="Times New Roman" w:cs="Times New Roman"/>
                <w:spacing w:val="6"/>
              </w:rPr>
              <w:t>2.</w:t>
            </w:r>
            <w:r>
              <w:rPr>
                <w:spacing w:val="6"/>
              </w:rPr>
              <w:t>水质检测报告有轻微缺陷。</w:t>
            </w:r>
            <w:r>
              <w:rPr>
                <w:spacing w:val="4"/>
              </w:rPr>
              <w:t xml:space="preserve"> </w:t>
            </w:r>
            <w:r>
              <w:rPr>
                <w:rFonts w:ascii="Times New Roman" w:hAnsi="Times New Roman" w:eastAsia="Times New Roman" w:cs="Times New Roman"/>
                <w:spacing w:val="6"/>
              </w:rPr>
              <w:t>3.</w:t>
            </w:r>
            <w:r>
              <w:rPr>
                <w:spacing w:val="6"/>
              </w:rPr>
              <w:t>供水水压、水量稍有不足。</w:t>
            </w:r>
          </w:p>
        </w:tc>
        <w:tc>
          <w:tcPr>
            <w:tcW w:w="555" w:type="dxa"/>
            <w:vAlign w:val="top"/>
          </w:tcPr>
          <w:p>
            <w:pPr>
              <w:spacing w:line="304" w:lineRule="auto"/>
              <w:rPr>
                <w:rFonts w:ascii="Arial"/>
                <w:sz w:val="21"/>
              </w:rPr>
            </w:pPr>
          </w:p>
          <w:p>
            <w:pPr>
              <w:spacing w:before="57"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7" w:line="245" w:lineRule="auto"/>
              <w:ind w:left="108" w:right="335" w:firstLine="20"/>
            </w:pPr>
            <w:r>
              <w:rPr>
                <w:rFonts w:ascii="Times New Roman" w:hAnsi="Times New Roman" w:eastAsia="Times New Roman" w:cs="Times New Roman"/>
                <w:spacing w:val="6"/>
              </w:rPr>
              <w:t>1.</w:t>
            </w:r>
            <w:r>
              <w:rPr>
                <w:spacing w:val="6"/>
              </w:rPr>
              <w:t>食品添加剂加工用水的水质不符合规定要求。</w:t>
            </w:r>
            <w:r>
              <w:rPr>
                <w:spacing w:val="16"/>
              </w:rPr>
              <w:t xml:space="preserve"> </w:t>
            </w:r>
            <w:r>
              <w:rPr>
                <w:rFonts w:ascii="Times New Roman" w:hAnsi="Times New Roman" w:eastAsia="Times New Roman" w:cs="Times New Roman"/>
                <w:spacing w:val="8"/>
              </w:rPr>
              <w:t>2.</w:t>
            </w:r>
            <w:r>
              <w:rPr>
                <w:spacing w:val="8"/>
              </w:rPr>
              <w:t>供水管路无标识或标识混乱。</w:t>
            </w:r>
          </w:p>
          <w:p>
            <w:pPr>
              <w:pStyle w:val="6"/>
              <w:spacing w:before="31" w:line="210" w:lineRule="auto"/>
              <w:ind w:left="112"/>
            </w:pPr>
            <w:r>
              <w:rPr>
                <w:rFonts w:ascii="Times New Roman" w:hAnsi="Times New Roman" w:eastAsia="Times New Roman" w:cs="Times New Roman"/>
                <w:spacing w:val="7"/>
              </w:rPr>
              <w:t>3.</w:t>
            </w:r>
            <w:r>
              <w:rPr>
                <w:spacing w:val="7"/>
              </w:rPr>
              <w:t>供水管路存在交叉污染。</w:t>
            </w:r>
          </w:p>
        </w:tc>
        <w:tc>
          <w:tcPr>
            <w:tcW w:w="555" w:type="dxa"/>
            <w:vAlign w:val="top"/>
          </w:tcPr>
          <w:p>
            <w:pPr>
              <w:spacing w:line="304"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7" w:type="default"/>
          <w:pgSz w:w="15840" w:h="12240"/>
          <w:pgMar w:top="1040" w:right="422" w:bottom="897" w:left="1038" w:header="0" w:footer="724" w:gutter="0"/>
          <w:cols w:space="720" w:num="1"/>
        </w:sectPr>
      </w:pPr>
    </w:p>
    <w:p>
      <w:pPr>
        <w:spacing w:before="12"/>
      </w:pPr>
    </w:p>
    <w:p>
      <w:pPr>
        <w:spacing w:before="12"/>
      </w:pPr>
    </w:p>
    <w:p>
      <w:pPr>
        <w:spacing w:before="11"/>
      </w:pPr>
    </w:p>
    <w:tbl>
      <w:tblPr>
        <w:tblStyle w:val="5"/>
        <w:tblW w:w="14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40"/>
        <w:gridCol w:w="4528"/>
        <w:gridCol w:w="4768"/>
        <w:gridCol w:w="555"/>
        <w:gridCol w:w="1469"/>
        <w:gridCol w:w="1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20" w:type="dxa"/>
            <w:textDirection w:val="tbRlV"/>
            <w:vAlign w:val="top"/>
          </w:tcPr>
          <w:p>
            <w:pPr>
              <w:spacing w:before="203"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40" w:type="dxa"/>
            <w:vAlign w:val="top"/>
          </w:tcPr>
          <w:p>
            <w:pPr>
              <w:spacing w:before="37" w:line="234" w:lineRule="auto"/>
              <w:ind w:left="211" w:right="21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1"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23" w:type="dxa"/>
            <w:gridSpan w:val="2"/>
            <w:vAlign w:val="top"/>
          </w:tcPr>
          <w:p>
            <w:pPr>
              <w:spacing w:before="171" w:line="230" w:lineRule="auto"/>
              <w:ind w:left="2244"/>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71" w:line="231" w:lineRule="auto"/>
              <w:ind w:left="319"/>
              <w:rPr>
                <w:rFonts w:ascii="黑体" w:hAnsi="黑体" w:eastAsia="黑体" w:cs="黑体"/>
                <w:sz w:val="20"/>
                <w:szCs w:val="20"/>
              </w:rPr>
            </w:pPr>
            <w:r>
              <w:rPr>
                <w:rFonts w:ascii="黑体" w:hAnsi="黑体" w:eastAsia="黑体" w:cs="黑体"/>
                <w:spacing w:val="7"/>
                <w:sz w:val="20"/>
                <w:szCs w:val="20"/>
              </w:rPr>
              <w:t>核查得分</w:t>
            </w:r>
          </w:p>
        </w:tc>
        <w:tc>
          <w:tcPr>
            <w:tcW w:w="1594" w:type="dxa"/>
            <w:vAlign w:val="top"/>
          </w:tcPr>
          <w:p>
            <w:pPr>
              <w:spacing w:before="171" w:line="230" w:lineRule="auto"/>
              <w:ind w:left="381"/>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rPr>
                <w:rFonts w:ascii="Arial"/>
                <w:sz w:val="21"/>
              </w:rPr>
            </w:pPr>
          </w:p>
        </w:tc>
        <w:tc>
          <w:tcPr>
            <w:tcW w:w="840" w:type="dxa"/>
            <w:vMerge w:val="restart"/>
            <w:tcBorders>
              <w:bottom w:val="nil"/>
            </w:tcBorders>
            <w:vAlign w:val="top"/>
          </w:tcPr>
          <w:p>
            <w:pPr>
              <w:rPr>
                <w:rFonts w:ascii="Arial"/>
                <w:sz w:val="21"/>
              </w:rPr>
            </w:pPr>
          </w:p>
        </w:tc>
        <w:tc>
          <w:tcPr>
            <w:tcW w:w="4528" w:type="dxa"/>
            <w:vMerge w:val="restart"/>
            <w:tcBorders>
              <w:bottom w:val="nil"/>
            </w:tcBorders>
            <w:vAlign w:val="top"/>
          </w:tcPr>
          <w:p>
            <w:pPr>
              <w:spacing w:line="297" w:lineRule="auto"/>
              <w:rPr>
                <w:rFonts w:ascii="Arial"/>
                <w:sz w:val="21"/>
              </w:rPr>
            </w:pPr>
          </w:p>
          <w:p>
            <w:pPr>
              <w:pStyle w:val="6"/>
              <w:spacing w:before="65" w:line="253" w:lineRule="auto"/>
              <w:ind w:left="118" w:right="106" w:hanging="11"/>
              <w:jc w:val="both"/>
            </w:pPr>
            <w:r>
              <w:rPr>
                <w:rFonts w:ascii="Times New Roman" w:hAnsi="Times New Roman" w:eastAsia="Times New Roman" w:cs="Times New Roman"/>
                <w:spacing w:val="7"/>
              </w:rPr>
              <w:t>2.</w:t>
            </w:r>
            <w:r>
              <w:rPr>
                <w:spacing w:val="7"/>
              </w:rPr>
              <w:t>排水系统的设计和建造应保证排水畅通，便于</w:t>
            </w:r>
            <w:r>
              <w:rPr>
                <w:spacing w:val="3"/>
              </w:rPr>
              <w:t xml:space="preserve"> </w:t>
            </w:r>
            <w:r>
              <w:rPr>
                <w:spacing w:val="4"/>
              </w:rPr>
              <w:t>清洁维护，且满足生产的需要。室内排水应当由</w:t>
            </w:r>
            <w:r>
              <w:rPr>
                <w:spacing w:val="11"/>
              </w:rPr>
              <w:t xml:space="preserve"> </w:t>
            </w:r>
            <w:r>
              <w:rPr>
                <w:spacing w:val="4"/>
              </w:rPr>
              <w:t>清洁程度高的区域流向清洁程度低的区域，且有</w:t>
            </w:r>
            <w:r>
              <w:rPr>
                <w:spacing w:val="9"/>
              </w:rPr>
              <w:t xml:space="preserve"> </w:t>
            </w:r>
            <w:r>
              <w:rPr>
                <w:spacing w:val="4"/>
              </w:rPr>
              <w:t>防止逆流的措施。排水系统出入口设计合理并有</w:t>
            </w:r>
            <w:r>
              <w:rPr>
                <w:spacing w:val="11"/>
              </w:rPr>
              <w:t xml:space="preserve"> </w:t>
            </w:r>
            <w:r>
              <w:rPr>
                <w:spacing w:val="7"/>
              </w:rPr>
              <w:t>防止污染和虫害侵入的措施。</w:t>
            </w:r>
          </w:p>
        </w:tc>
        <w:tc>
          <w:tcPr>
            <w:tcW w:w="4768" w:type="dxa"/>
            <w:vAlign w:val="top"/>
          </w:tcPr>
          <w:p>
            <w:pPr>
              <w:pStyle w:val="6"/>
              <w:spacing w:before="73" w:line="229" w:lineRule="auto"/>
              <w:ind w:left="122"/>
            </w:pPr>
            <w:r>
              <w:rPr>
                <w:spacing w:val="5"/>
              </w:rPr>
              <w:t>符合规定要求。</w:t>
            </w:r>
          </w:p>
        </w:tc>
        <w:tc>
          <w:tcPr>
            <w:tcW w:w="555" w:type="dxa"/>
            <w:vAlign w:val="top"/>
          </w:tcPr>
          <w:p>
            <w:pPr>
              <w:spacing w:before="109"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44" w:line="231" w:lineRule="auto"/>
              <w:ind w:left="128"/>
            </w:pPr>
            <w:r>
              <w:rPr>
                <w:rFonts w:ascii="Times New Roman" w:hAnsi="Times New Roman" w:eastAsia="Times New Roman" w:cs="Times New Roman"/>
                <w:spacing w:val="5"/>
              </w:rPr>
              <w:t>1.</w:t>
            </w:r>
            <w:r>
              <w:rPr>
                <w:spacing w:val="5"/>
              </w:rPr>
              <w:t>个别排水略有不畅。</w:t>
            </w:r>
          </w:p>
          <w:p>
            <w:pPr>
              <w:pStyle w:val="6"/>
              <w:spacing w:before="27" w:line="236" w:lineRule="auto"/>
              <w:ind w:left="116" w:right="106" w:hanging="8"/>
            </w:pPr>
            <w:r>
              <w:rPr>
                <w:rFonts w:ascii="Times New Roman" w:hAnsi="Times New Roman" w:eastAsia="Times New Roman" w:cs="Times New Roman"/>
                <w:spacing w:val="12"/>
              </w:rPr>
              <w:t>2.</w:t>
            </w:r>
            <w:r>
              <w:rPr>
                <w:rFonts w:ascii="Times New Roman" w:hAnsi="Times New Roman" w:eastAsia="Times New Roman" w:cs="Times New Roman"/>
                <w:spacing w:val="-19"/>
              </w:rPr>
              <w:t xml:space="preserve"> </w:t>
            </w:r>
            <w:r>
              <w:rPr>
                <w:spacing w:val="12"/>
              </w:rPr>
              <w:t>个别排水管路</w:t>
            </w:r>
            <w:r>
              <w:rPr>
                <w:spacing w:val="-59"/>
              </w:rPr>
              <w:t xml:space="preserve"> </w:t>
            </w:r>
            <w:r>
              <w:rPr>
                <w:spacing w:val="12"/>
              </w:rPr>
              <w:t>、排水</w:t>
            </w:r>
            <w:r>
              <w:rPr>
                <w:spacing w:val="-39"/>
              </w:rPr>
              <w:t xml:space="preserve"> </w:t>
            </w:r>
            <w:r>
              <w:rPr>
                <w:spacing w:val="12"/>
              </w:rPr>
              <w:t>口的相关防护措施略有不</w:t>
            </w:r>
            <w:r>
              <w:t xml:space="preserve"> </w:t>
            </w:r>
            <w:r>
              <w:rPr>
                <w:spacing w:val="-3"/>
              </w:rPr>
              <w:t>足。</w:t>
            </w:r>
          </w:p>
        </w:tc>
        <w:tc>
          <w:tcPr>
            <w:tcW w:w="555" w:type="dxa"/>
            <w:vAlign w:val="top"/>
          </w:tcPr>
          <w:p>
            <w:pPr>
              <w:spacing w:line="300" w:lineRule="auto"/>
              <w:rPr>
                <w:rFonts w:ascii="Arial"/>
                <w:sz w:val="21"/>
              </w:rPr>
            </w:pPr>
          </w:p>
          <w:p>
            <w:pPr>
              <w:spacing w:before="57"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5" w:line="231" w:lineRule="auto"/>
              <w:ind w:left="128"/>
            </w:pPr>
            <w:r>
              <w:rPr>
                <w:rFonts w:ascii="Times New Roman" w:hAnsi="Times New Roman" w:eastAsia="Times New Roman" w:cs="Times New Roman"/>
                <w:spacing w:val="6"/>
              </w:rPr>
              <w:t>1.</w:t>
            </w:r>
            <w:r>
              <w:rPr>
                <w:spacing w:val="6"/>
              </w:rPr>
              <w:t>排水不畅，积水严重。</w:t>
            </w:r>
          </w:p>
          <w:p>
            <w:pPr>
              <w:pStyle w:val="6"/>
              <w:spacing w:before="31" w:line="234" w:lineRule="auto"/>
              <w:ind w:left="112" w:right="1384" w:hanging="4"/>
            </w:pPr>
            <w:r>
              <w:rPr>
                <w:rFonts w:ascii="Times New Roman" w:hAnsi="Times New Roman" w:eastAsia="Times New Roman" w:cs="Times New Roman"/>
                <w:spacing w:val="5"/>
              </w:rPr>
              <w:t>2.</w:t>
            </w:r>
            <w:r>
              <w:rPr>
                <w:rFonts w:ascii="Times New Roman" w:hAnsi="Times New Roman" w:eastAsia="Times New Roman" w:cs="Times New Roman"/>
                <w:spacing w:val="-16"/>
              </w:rPr>
              <w:t xml:space="preserve"> </w:t>
            </w:r>
            <w:r>
              <w:rPr>
                <w:spacing w:val="5"/>
              </w:rPr>
              <w:t>生产车间内排水流向不符合要求。</w:t>
            </w:r>
            <w:r>
              <w:t xml:space="preserve"> </w:t>
            </w:r>
            <w:r>
              <w:rPr>
                <w:rFonts w:ascii="Times New Roman" w:hAnsi="Times New Roman" w:eastAsia="Times New Roman" w:cs="Times New Roman"/>
                <w:spacing w:val="7"/>
              </w:rPr>
              <w:t>3.</w:t>
            </w:r>
            <w:r>
              <w:rPr>
                <w:spacing w:val="7"/>
              </w:rPr>
              <w:t>排水口防护措施严重不足。</w:t>
            </w:r>
          </w:p>
        </w:tc>
        <w:tc>
          <w:tcPr>
            <w:tcW w:w="555" w:type="dxa"/>
            <w:vAlign w:val="top"/>
          </w:tcPr>
          <w:p>
            <w:pPr>
              <w:spacing w:line="302"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840" w:type="dxa"/>
            <w:vMerge w:val="restart"/>
            <w:tcBorders>
              <w:bottom w:val="nil"/>
            </w:tcBorders>
            <w:vAlign w:val="top"/>
          </w:tcPr>
          <w:p>
            <w:pPr>
              <w:pStyle w:val="6"/>
              <w:spacing w:before="259" w:line="248" w:lineRule="auto"/>
              <w:ind w:left="212" w:right="213" w:firstLine="9"/>
              <w:jc w:val="both"/>
            </w:pPr>
            <w:r>
              <w:rPr>
                <w:spacing w:val="-1"/>
              </w:rPr>
              <w:t>清洁</w:t>
            </w:r>
            <w:r>
              <w:t xml:space="preserve"> </w:t>
            </w:r>
            <w:r>
              <w:rPr>
                <w:spacing w:val="4"/>
              </w:rPr>
              <w:t>消毒</w:t>
            </w:r>
            <w:r>
              <w:t xml:space="preserve"> </w:t>
            </w:r>
            <w:r>
              <w:rPr>
                <w:spacing w:val="4"/>
              </w:rPr>
              <w:t>设施</w:t>
            </w:r>
          </w:p>
        </w:tc>
        <w:tc>
          <w:tcPr>
            <w:tcW w:w="4528" w:type="dxa"/>
            <w:vMerge w:val="restart"/>
            <w:tcBorders>
              <w:bottom w:val="nil"/>
            </w:tcBorders>
            <w:vAlign w:val="top"/>
          </w:tcPr>
          <w:p>
            <w:pPr>
              <w:pStyle w:val="6"/>
              <w:spacing w:before="116" w:line="251" w:lineRule="auto"/>
              <w:ind w:left="116" w:right="106"/>
              <w:jc w:val="both"/>
            </w:pPr>
            <w:r>
              <w:rPr>
                <w:spacing w:val="4"/>
              </w:rPr>
              <w:t>应当配备相应的食品添加剂、工器具和设备等的</w:t>
            </w:r>
            <w:r>
              <w:rPr>
                <w:spacing w:val="11"/>
              </w:rPr>
              <w:t xml:space="preserve"> </w:t>
            </w:r>
            <w:r>
              <w:rPr>
                <w:spacing w:val="4"/>
              </w:rPr>
              <w:t>专用清洁设施，必要时配备相应的消毒设施。清</w:t>
            </w:r>
            <w:r>
              <w:rPr>
                <w:spacing w:val="14"/>
              </w:rPr>
              <w:t xml:space="preserve"> </w:t>
            </w:r>
            <w:r>
              <w:rPr>
                <w:spacing w:val="4"/>
              </w:rPr>
              <w:t>洁、消毒方式应当避免对产品造成交叉污染，使</w:t>
            </w:r>
            <w:r>
              <w:rPr>
                <w:spacing w:val="14"/>
              </w:rPr>
              <w:t xml:space="preserve"> </w:t>
            </w:r>
            <w:r>
              <w:rPr>
                <w:spacing w:val="8"/>
              </w:rPr>
              <w:t>用的洗涤剂、消毒剂应当符合相关规定要求。</w:t>
            </w:r>
          </w:p>
        </w:tc>
        <w:tc>
          <w:tcPr>
            <w:tcW w:w="4768" w:type="dxa"/>
            <w:vAlign w:val="top"/>
          </w:tcPr>
          <w:p>
            <w:pPr>
              <w:pStyle w:val="6"/>
              <w:spacing w:before="77" w:line="229" w:lineRule="auto"/>
              <w:ind w:left="122"/>
            </w:pPr>
            <w:r>
              <w:rPr>
                <w:spacing w:val="5"/>
              </w:rPr>
              <w:t>符合规定要求。</w:t>
            </w:r>
          </w:p>
        </w:tc>
        <w:tc>
          <w:tcPr>
            <w:tcW w:w="555" w:type="dxa"/>
            <w:vAlign w:val="top"/>
          </w:tcPr>
          <w:p>
            <w:pPr>
              <w:spacing w:before="113"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75" w:line="230" w:lineRule="auto"/>
              <w:ind w:left="120"/>
            </w:pPr>
            <w:r>
              <w:rPr>
                <w:spacing w:val="7"/>
              </w:rPr>
              <w:t>清洁消毒设施略有不足。</w:t>
            </w:r>
          </w:p>
        </w:tc>
        <w:tc>
          <w:tcPr>
            <w:tcW w:w="555" w:type="dxa"/>
            <w:vAlign w:val="top"/>
          </w:tcPr>
          <w:p>
            <w:pPr>
              <w:spacing w:before="111"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7" w:line="234" w:lineRule="auto"/>
              <w:ind w:left="140" w:right="106" w:hanging="20"/>
            </w:pPr>
            <w:r>
              <w:rPr>
                <w:spacing w:val="6"/>
              </w:rPr>
              <w:t>清洁消毒设施严重不足，或者清洁消毒的方式、用</w:t>
            </w:r>
            <w:r>
              <w:rPr>
                <w:spacing w:val="3"/>
              </w:rPr>
              <w:t xml:space="preserve"> </w:t>
            </w:r>
            <w:r>
              <w:rPr>
                <w:spacing w:val="4"/>
              </w:rPr>
              <w:t>品不符合规定要求。</w:t>
            </w:r>
          </w:p>
        </w:tc>
        <w:tc>
          <w:tcPr>
            <w:tcW w:w="555" w:type="dxa"/>
            <w:vAlign w:val="top"/>
          </w:tcPr>
          <w:p>
            <w:pPr>
              <w:spacing w:before="222"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840" w:type="dxa"/>
            <w:vMerge w:val="restart"/>
            <w:tcBorders>
              <w:bottom w:val="nil"/>
            </w:tcBorders>
            <w:vAlign w:val="top"/>
          </w:tcPr>
          <w:p>
            <w:pPr>
              <w:pStyle w:val="6"/>
              <w:spacing w:before="188" w:line="226" w:lineRule="auto"/>
              <w:ind w:left="210"/>
            </w:pPr>
            <w:r>
              <w:rPr>
                <w:spacing w:val="5"/>
              </w:rPr>
              <w:t>废弃</w:t>
            </w:r>
          </w:p>
          <w:p>
            <w:pPr>
              <w:pStyle w:val="6"/>
              <w:spacing w:before="32" w:line="223" w:lineRule="auto"/>
              <w:ind w:left="218"/>
            </w:pPr>
            <w:r>
              <w:rPr>
                <w:spacing w:val="1"/>
              </w:rPr>
              <w:t>物存</w:t>
            </w:r>
          </w:p>
          <w:p>
            <w:pPr>
              <w:pStyle w:val="6"/>
              <w:spacing w:before="39" w:line="227" w:lineRule="auto"/>
              <w:ind w:left="212"/>
            </w:pPr>
            <w:r>
              <w:rPr>
                <w:spacing w:val="4"/>
              </w:rPr>
              <w:t>放设</w:t>
            </w:r>
          </w:p>
          <w:p>
            <w:pPr>
              <w:pStyle w:val="6"/>
              <w:spacing w:before="34" w:line="228" w:lineRule="auto"/>
              <w:ind w:left="318"/>
            </w:pPr>
            <w:r>
              <w:t>施</w:t>
            </w:r>
          </w:p>
        </w:tc>
        <w:tc>
          <w:tcPr>
            <w:tcW w:w="4528" w:type="dxa"/>
            <w:vMerge w:val="restart"/>
            <w:tcBorders>
              <w:bottom w:val="nil"/>
            </w:tcBorders>
            <w:vAlign w:val="top"/>
          </w:tcPr>
          <w:p>
            <w:pPr>
              <w:pStyle w:val="6"/>
              <w:spacing w:before="45" w:line="249" w:lineRule="auto"/>
              <w:ind w:left="116" w:right="106"/>
              <w:jc w:val="both"/>
            </w:pPr>
            <w:r>
              <w:rPr>
                <w:spacing w:val="4"/>
              </w:rPr>
              <w:t>应当配备设计合理、防止渗漏、易于清洁的存放</w:t>
            </w:r>
            <w:r>
              <w:rPr>
                <w:spacing w:val="14"/>
              </w:rPr>
              <w:t xml:space="preserve"> </w:t>
            </w:r>
            <w:r>
              <w:rPr>
                <w:spacing w:val="4"/>
              </w:rPr>
              <w:t>废弃物的专用设施，必要时可设置废弃物临时存</w:t>
            </w:r>
            <w:r>
              <w:rPr>
                <w:spacing w:val="11"/>
              </w:rPr>
              <w:t xml:space="preserve"> </w:t>
            </w:r>
            <w:r>
              <w:rPr>
                <w:spacing w:val="4"/>
              </w:rPr>
              <w:t>放设施。车间内存放废弃物的设施和容器应当标</w:t>
            </w:r>
            <w:r>
              <w:rPr>
                <w:spacing w:val="14"/>
              </w:rPr>
              <w:t xml:space="preserve"> </w:t>
            </w:r>
            <w:r>
              <w:rPr>
                <w:spacing w:val="4"/>
              </w:rPr>
              <w:t>识清晰，不得与盛装原料、半成品、成品的容器</w:t>
            </w:r>
            <w:r>
              <w:rPr>
                <w:spacing w:val="14"/>
              </w:rPr>
              <w:t xml:space="preserve"> </w:t>
            </w:r>
            <w:r>
              <w:rPr>
                <w:spacing w:val="1"/>
              </w:rPr>
              <w:t>混用。</w:t>
            </w:r>
          </w:p>
        </w:tc>
        <w:tc>
          <w:tcPr>
            <w:tcW w:w="4768" w:type="dxa"/>
            <w:vAlign w:val="top"/>
          </w:tcPr>
          <w:p>
            <w:pPr>
              <w:pStyle w:val="6"/>
              <w:spacing w:before="77" w:line="229" w:lineRule="auto"/>
              <w:ind w:left="122"/>
            </w:pPr>
            <w:r>
              <w:rPr>
                <w:spacing w:val="5"/>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77" w:line="228" w:lineRule="auto"/>
              <w:ind w:left="120"/>
            </w:pPr>
            <w:r>
              <w:rPr>
                <w:spacing w:val="8"/>
              </w:rPr>
              <w:t>废弃物存放设施及标识略有不足。</w:t>
            </w:r>
          </w:p>
        </w:tc>
        <w:tc>
          <w:tcPr>
            <w:tcW w:w="555" w:type="dxa"/>
            <w:vAlign w:val="top"/>
          </w:tcPr>
          <w:p>
            <w:pPr>
              <w:spacing w:before="11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115" w:line="246" w:lineRule="auto"/>
              <w:ind w:left="120" w:right="106"/>
            </w:pPr>
            <w:r>
              <w:rPr>
                <w:spacing w:val="6"/>
              </w:rPr>
              <w:t>废弃物存放设施设计不合理，或者与盛装原料、半</w:t>
            </w:r>
            <w:r>
              <w:rPr>
                <w:spacing w:val="3"/>
              </w:rPr>
              <w:t xml:space="preserve"> </w:t>
            </w:r>
            <w:r>
              <w:rPr>
                <w:spacing w:val="7"/>
              </w:rPr>
              <w:t>成品、成品的容器混用。</w:t>
            </w:r>
          </w:p>
        </w:tc>
        <w:tc>
          <w:tcPr>
            <w:tcW w:w="555" w:type="dxa"/>
            <w:vAlign w:val="top"/>
          </w:tcPr>
          <w:p>
            <w:pPr>
              <w:spacing w:before="291"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840"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5" w:line="250" w:lineRule="auto"/>
              <w:ind w:left="212" w:right="213" w:firstLine="1"/>
              <w:jc w:val="both"/>
            </w:pPr>
            <w:r>
              <w:rPr>
                <w:spacing w:val="3"/>
              </w:rPr>
              <w:t>个人</w:t>
            </w:r>
            <w:r>
              <w:t xml:space="preserve"> </w:t>
            </w:r>
            <w:r>
              <w:rPr>
                <w:spacing w:val="4"/>
              </w:rPr>
              <w:t>卫生</w:t>
            </w:r>
            <w:r>
              <w:t xml:space="preserve"> </w:t>
            </w:r>
            <w:r>
              <w:rPr>
                <w:spacing w:val="4"/>
              </w:rPr>
              <w:t>设施</w:t>
            </w:r>
          </w:p>
        </w:tc>
        <w:tc>
          <w:tcPr>
            <w:tcW w:w="4528" w:type="dxa"/>
            <w:vMerge w:val="restart"/>
            <w:tcBorders>
              <w:bottom w:val="nil"/>
            </w:tcBorders>
            <w:vAlign w:val="top"/>
          </w:tcPr>
          <w:p>
            <w:pPr>
              <w:pStyle w:val="6"/>
              <w:spacing w:before="49" w:line="254" w:lineRule="auto"/>
              <w:ind w:left="116" w:right="48" w:firstLine="12"/>
              <w:jc w:val="both"/>
            </w:pPr>
            <w:r>
              <w:rPr>
                <w:spacing w:val="4"/>
              </w:rPr>
              <w:t>生产场所或车间入口处应当设置更衣室，更衣室</w:t>
            </w:r>
            <w:r>
              <w:rPr>
                <w:spacing w:val="1"/>
              </w:rPr>
              <w:t xml:space="preserve"> </w:t>
            </w:r>
            <w:r>
              <w:rPr>
                <w:spacing w:val="14"/>
              </w:rPr>
              <w:t>应当保证工作服与个人服装及其他物品分开放</w:t>
            </w:r>
            <w:r>
              <w:rPr>
                <w:spacing w:val="18"/>
              </w:rPr>
              <w:t xml:space="preserve"> </w:t>
            </w:r>
            <w:r>
              <w:rPr>
                <w:spacing w:val="4"/>
              </w:rPr>
              <w:t>置；车间入口及车间内必要处，应当按需设置换</w:t>
            </w:r>
            <w:r>
              <w:rPr>
                <w:spacing w:val="14"/>
              </w:rPr>
              <w:t xml:space="preserve"> </w:t>
            </w:r>
            <w:r>
              <w:rPr>
                <w:spacing w:val="4"/>
              </w:rPr>
              <w:t>鞋（或穿戴鞋套）设施或鞋靴消毒设施；清洁作</w:t>
            </w:r>
            <w:r>
              <w:rPr>
                <w:spacing w:val="14"/>
              </w:rPr>
              <w:t xml:space="preserve"> 业区入口应当设置与生产加工人员数量相匹配</w:t>
            </w:r>
            <w:r>
              <w:rPr>
                <w:spacing w:val="18"/>
              </w:rPr>
              <w:t xml:space="preserve"> </w:t>
            </w:r>
            <w:r>
              <w:rPr>
                <w:spacing w:val="7"/>
              </w:rPr>
              <w:t>的非手动式洗手、干手和消毒设施；如有需要，</w:t>
            </w:r>
            <w:r>
              <w:rPr>
                <w:spacing w:val="9"/>
              </w:rPr>
              <w:t xml:space="preserve"> </w:t>
            </w:r>
            <w:r>
              <w:rPr>
                <w:spacing w:val="4"/>
              </w:rPr>
              <w:t>应当在作业区内适当位置加设洗手和（或）消毒</w:t>
            </w:r>
            <w:r>
              <w:rPr>
                <w:spacing w:val="12"/>
              </w:rPr>
              <w:t xml:space="preserve"> </w:t>
            </w:r>
            <w:r>
              <w:rPr>
                <w:spacing w:val="-2"/>
              </w:rPr>
              <w:t>设施；洗手设施的材质、结构应当易于清洁消毒，</w:t>
            </w:r>
            <w:r>
              <w:t xml:space="preserve"> </w:t>
            </w:r>
            <w:r>
              <w:rPr>
                <w:spacing w:val="4"/>
              </w:rPr>
              <w:t>临近位置应当标示洗手方法。卫生间应当易于保</w:t>
            </w:r>
            <w:r>
              <w:rPr>
                <w:spacing w:val="12"/>
              </w:rPr>
              <w:t xml:space="preserve"> </w:t>
            </w:r>
            <w:r>
              <w:rPr>
                <w:spacing w:val="4"/>
              </w:rPr>
              <w:t>持清洁，不得与生产、包装或贮存等区域直接连</w:t>
            </w:r>
            <w:r>
              <w:rPr>
                <w:spacing w:val="14"/>
              </w:rPr>
              <w:t xml:space="preserve"> </w:t>
            </w:r>
            <w:r>
              <w:rPr>
                <w:spacing w:val="8"/>
              </w:rPr>
              <w:t>通，卫生间内的适当位置应当设置洗手设施。</w:t>
            </w:r>
          </w:p>
        </w:tc>
        <w:tc>
          <w:tcPr>
            <w:tcW w:w="4768" w:type="dxa"/>
            <w:vAlign w:val="top"/>
          </w:tcPr>
          <w:p>
            <w:pPr>
              <w:pStyle w:val="6"/>
              <w:spacing w:before="77" w:line="229" w:lineRule="auto"/>
              <w:ind w:left="122"/>
            </w:pPr>
            <w:r>
              <w:rPr>
                <w:spacing w:val="5"/>
              </w:rPr>
              <w:t>符合规定要求。</w:t>
            </w:r>
          </w:p>
        </w:tc>
        <w:tc>
          <w:tcPr>
            <w:tcW w:w="555" w:type="dxa"/>
            <w:vAlign w:val="top"/>
          </w:tcPr>
          <w:p>
            <w:pPr>
              <w:spacing w:before="11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77" w:line="231" w:lineRule="auto"/>
              <w:ind w:left="118"/>
            </w:pPr>
            <w:r>
              <w:rPr>
                <w:spacing w:val="7"/>
              </w:rPr>
              <w:t>个人卫生设施略有不足。</w:t>
            </w:r>
          </w:p>
        </w:tc>
        <w:tc>
          <w:tcPr>
            <w:tcW w:w="555" w:type="dxa"/>
            <w:vAlign w:val="top"/>
          </w:tcPr>
          <w:p>
            <w:pPr>
              <w:spacing w:before="11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9" w:lineRule="auto"/>
              <w:ind w:left="118"/>
            </w:pPr>
            <w:r>
              <w:rPr>
                <w:spacing w:val="8"/>
              </w:rPr>
              <w:t>个人卫生设施严重不符合要求。</w:t>
            </w:r>
          </w:p>
        </w:tc>
        <w:tc>
          <w:tcPr>
            <w:tcW w:w="55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57"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8" w:type="default"/>
          <w:pgSz w:w="15840" w:h="12240"/>
          <w:pgMar w:top="1040" w:right="422" w:bottom="895" w:left="1038" w:header="0" w:footer="723" w:gutter="0"/>
          <w:cols w:space="720" w:num="1"/>
        </w:sectPr>
      </w:pPr>
    </w:p>
    <w:p>
      <w:pPr>
        <w:spacing w:before="12"/>
      </w:pPr>
    </w:p>
    <w:p>
      <w:pPr>
        <w:spacing w:before="12"/>
      </w:pPr>
    </w:p>
    <w:p>
      <w:pPr>
        <w:spacing w:before="11"/>
      </w:pPr>
    </w:p>
    <w:tbl>
      <w:tblPr>
        <w:tblStyle w:val="5"/>
        <w:tblW w:w="14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40"/>
        <w:gridCol w:w="4528"/>
        <w:gridCol w:w="4768"/>
        <w:gridCol w:w="555"/>
        <w:gridCol w:w="1469"/>
        <w:gridCol w:w="1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20" w:type="dxa"/>
            <w:textDirection w:val="tbRlV"/>
            <w:vAlign w:val="top"/>
          </w:tcPr>
          <w:p>
            <w:pPr>
              <w:spacing w:before="203"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40" w:type="dxa"/>
            <w:vAlign w:val="top"/>
          </w:tcPr>
          <w:p>
            <w:pPr>
              <w:spacing w:before="37" w:line="234" w:lineRule="auto"/>
              <w:ind w:left="211" w:right="21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1"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23" w:type="dxa"/>
            <w:gridSpan w:val="2"/>
            <w:vAlign w:val="top"/>
          </w:tcPr>
          <w:p>
            <w:pPr>
              <w:spacing w:before="171" w:line="230" w:lineRule="auto"/>
              <w:ind w:left="2244"/>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71" w:line="231" w:lineRule="auto"/>
              <w:ind w:left="319"/>
              <w:rPr>
                <w:rFonts w:ascii="黑体" w:hAnsi="黑体" w:eastAsia="黑体" w:cs="黑体"/>
                <w:sz w:val="20"/>
                <w:szCs w:val="20"/>
              </w:rPr>
            </w:pPr>
            <w:r>
              <w:rPr>
                <w:rFonts w:ascii="黑体" w:hAnsi="黑体" w:eastAsia="黑体" w:cs="黑体"/>
                <w:spacing w:val="7"/>
                <w:sz w:val="20"/>
                <w:szCs w:val="20"/>
              </w:rPr>
              <w:t>核查得分</w:t>
            </w:r>
          </w:p>
        </w:tc>
        <w:tc>
          <w:tcPr>
            <w:tcW w:w="1594" w:type="dxa"/>
            <w:vAlign w:val="top"/>
          </w:tcPr>
          <w:p>
            <w:pPr>
              <w:spacing w:before="171" w:line="230" w:lineRule="auto"/>
              <w:ind w:left="381"/>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840" w:type="dxa"/>
            <w:vMerge w:val="restart"/>
            <w:tcBorders>
              <w:bottom w:val="nil"/>
            </w:tcBorders>
            <w:vAlign w:val="top"/>
          </w:tcPr>
          <w:p>
            <w:pPr>
              <w:spacing w:line="397" w:lineRule="auto"/>
              <w:rPr>
                <w:rFonts w:ascii="Arial"/>
                <w:sz w:val="21"/>
              </w:rPr>
            </w:pPr>
          </w:p>
          <w:p>
            <w:pPr>
              <w:pStyle w:val="6"/>
              <w:spacing w:before="65" w:line="245" w:lineRule="auto"/>
              <w:ind w:left="212" w:right="213" w:firstLine="5"/>
            </w:pPr>
            <w:r>
              <w:rPr>
                <w:spacing w:val="2"/>
              </w:rPr>
              <w:t>通风</w:t>
            </w:r>
            <w:r>
              <w:t xml:space="preserve"> </w:t>
            </w:r>
            <w:r>
              <w:rPr>
                <w:spacing w:val="4"/>
              </w:rPr>
              <w:t>设施</w:t>
            </w:r>
          </w:p>
        </w:tc>
        <w:tc>
          <w:tcPr>
            <w:tcW w:w="4528" w:type="dxa"/>
            <w:vMerge w:val="restart"/>
            <w:tcBorders>
              <w:bottom w:val="nil"/>
            </w:tcBorders>
            <w:vAlign w:val="top"/>
          </w:tcPr>
          <w:p>
            <w:pPr>
              <w:pStyle w:val="6"/>
              <w:spacing w:before="45" w:line="249" w:lineRule="auto"/>
              <w:ind w:left="116" w:right="106"/>
              <w:jc w:val="both"/>
            </w:pPr>
            <w:r>
              <w:rPr>
                <w:spacing w:val="4"/>
              </w:rPr>
              <w:t>应当具有适宜的通风设施，进气口位置合理，避</w:t>
            </w:r>
            <w:r>
              <w:rPr>
                <w:spacing w:val="14"/>
              </w:rPr>
              <w:t xml:space="preserve"> 免空气从清洁程度要求低的作业区域流向清洁</w:t>
            </w:r>
            <w:r>
              <w:rPr>
                <w:spacing w:val="18"/>
              </w:rPr>
              <w:t xml:space="preserve"> </w:t>
            </w:r>
            <w:r>
              <w:rPr>
                <w:spacing w:val="4"/>
              </w:rPr>
              <w:t>程度要求高的作业区域。必要时应当安装空气过</w:t>
            </w:r>
            <w:r>
              <w:rPr>
                <w:spacing w:val="12"/>
              </w:rPr>
              <w:t xml:space="preserve"> </w:t>
            </w:r>
            <w:r>
              <w:rPr>
                <w:spacing w:val="4"/>
              </w:rPr>
              <w:t>滤装置和除尘设施。通风设施应当易于清洁、维</w:t>
            </w:r>
            <w:r>
              <w:rPr>
                <w:spacing w:val="14"/>
              </w:rPr>
              <w:t xml:space="preserve"> </w:t>
            </w:r>
            <w:r>
              <w:rPr>
                <w:spacing w:val="8"/>
              </w:rPr>
              <w:t>修或更换，能防止虫害侵入。</w:t>
            </w:r>
          </w:p>
        </w:tc>
        <w:tc>
          <w:tcPr>
            <w:tcW w:w="4768" w:type="dxa"/>
            <w:vAlign w:val="top"/>
          </w:tcPr>
          <w:p>
            <w:pPr>
              <w:pStyle w:val="6"/>
              <w:spacing w:before="73" w:line="229" w:lineRule="auto"/>
              <w:ind w:left="122"/>
            </w:pPr>
            <w:r>
              <w:rPr>
                <w:spacing w:val="5"/>
              </w:rPr>
              <w:t>符合规定要求。</w:t>
            </w:r>
          </w:p>
        </w:tc>
        <w:tc>
          <w:tcPr>
            <w:tcW w:w="555" w:type="dxa"/>
            <w:vAlign w:val="top"/>
          </w:tcPr>
          <w:p>
            <w:pPr>
              <w:spacing w:before="109"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73" w:line="231" w:lineRule="auto"/>
              <w:ind w:left="121"/>
            </w:pPr>
            <w:r>
              <w:rPr>
                <w:spacing w:val="6"/>
              </w:rPr>
              <w:t>通风设施略有不足。</w:t>
            </w:r>
          </w:p>
        </w:tc>
        <w:tc>
          <w:tcPr>
            <w:tcW w:w="555" w:type="dxa"/>
            <w:vAlign w:val="top"/>
          </w:tcPr>
          <w:p>
            <w:pPr>
              <w:spacing w:before="109"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114" w:line="244" w:lineRule="auto"/>
              <w:ind w:left="118" w:right="106" w:firstLine="3"/>
            </w:pPr>
            <w:r>
              <w:rPr>
                <w:spacing w:val="15"/>
              </w:rPr>
              <w:t>通风设施严重不足，不能满足必要的空气过滤净</w:t>
            </w:r>
            <w:r>
              <w:rPr>
                <w:spacing w:val="18"/>
              </w:rPr>
              <w:t xml:space="preserve"> </w:t>
            </w:r>
            <w:r>
              <w:rPr>
                <w:spacing w:val="8"/>
              </w:rPr>
              <w:t>化、除尘、防止虫害侵入的需求。</w:t>
            </w:r>
          </w:p>
        </w:tc>
        <w:tc>
          <w:tcPr>
            <w:tcW w:w="555" w:type="dxa"/>
            <w:vAlign w:val="top"/>
          </w:tcPr>
          <w:p>
            <w:pPr>
              <w:spacing w:before="290"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359" w:lineRule="auto"/>
              <w:rPr>
                <w:rFonts w:ascii="Arial"/>
                <w:sz w:val="21"/>
              </w:rPr>
            </w:pPr>
          </w:p>
          <w:p>
            <w:pPr>
              <w:spacing w:line="360"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840" w:type="dxa"/>
            <w:vMerge w:val="restart"/>
            <w:tcBorders>
              <w:bottom w:val="nil"/>
            </w:tcBorders>
            <w:vAlign w:val="top"/>
          </w:tcPr>
          <w:p>
            <w:pPr>
              <w:spacing w:line="269" w:lineRule="auto"/>
              <w:rPr>
                <w:rFonts w:ascii="Arial"/>
                <w:sz w:val="21"/>
              </w:rPr>
            </w:pPr>
          </w:p>
          <w:p>
            <w:pPr>
              <w:spacing w:line="270" w:lineRule="auto"/>
              <w:rPr>
                <w:rFonts w:ascii="Arial"/>
                <w:sz w:val="21"/>
              </w:rPr>
            </w:pPr>
          </w:p>
          <w:p>
            <w:pPr>
              <w:pStyle w:val="6"/>
              <w:spacing w:before="65" w:line="242" w:lineRule="auto"/>
              <w:ind w:left="212" w:right="213" w:firstLine="15"/>
            </w:pPr>
            <w:r>
              <w:rPr>
                <w:spacing w:val="-3"/>
              </w:rPr>
              <w:t>照明</w:t>
            </w:r>
            <w:r>
              <w:t xml:space="preserve"> </w:t>
            </w:r>
            <w:r>
              <w:rPr>
                <w:spacing w:val="4"/>
              </w:rPr>
              <w:t>设施</w:t>
            </w:r>
          </w:p>
        </w:tc>
        <w:tc>
          <w:tcPr>
            <w:tcW w:w="4528" w:type="dxa"/>
            <w:vMerge w:val="restart"/>
            <w:tcBorders>
              <w:bottom w:val="nil"/>
            </w:tcBorders>
            <w:vAlign w:val="top"/>
          </w:tcPr>
          <w:p>
            <w:pPr>
              <w:pStyle w:val="6"/>
              <w:spacing w:before="41" w:line="251" w:lineRule="auto"/>
              <w:ind w:left="116" w:right="106"/>
              <w:jc w:val="both"/>
            </w:pPr>
            <w:r>
              <w:rPr>
                <w:spacing w:val="4"/>
              </w:rPr>
              <w:t>厂房内应当有充足的自然采光或人工照明，光泽</w:t>
            </w:r>
            <w:r>
              <w:rPr>
                <w:spacing w:val="12"/>
              </w:rPr>
              <w:t xml:space="preserve"> </w:t>
            </w:r>
            <w:r>
              <w:rPr>
                <w:spacing w:val="4"/>
              </w:rPr>
              <w:t>和亮度应能满足生产和操作需要，光源应能使物</w:t>
            </w:r>
            <w:r>
              <w:rPr>
                <w:spacing w:val="12"/>
              </w:rPr>
              <w:t xml:space="preserve"> </w:t>
            </w:r>
            <w:r>
              <w:rPr>
                <w:spacing w:val="4"/>
              </w:rPr>
              <w:t>料呈现真实的颜色。在暴露原料、半成品、成品</w:t>
            </w:r>
            <w:r>
              <w:rPr>
                <w:spacing w:val="12"/>
              </w:rPr>
              <w:t xml:space="preserve"> </w:t>
            </w:r>
            <w:r>
              <w:rPr>
                <w:spacing w:val="14"/>
              </w:rPr>
              <w:t>正上方的照明设施应当使用安全型或有防护措</w:t>
            </w:r>
            <w:r>
              <w:rPr>
                <w:spacing w:val="18"/>
              </w:rPr>
              <w:t xml:space="preserve"> </w:t>
            </w:r>
            <w:r>
              <w:rPr>
                <w:spacing w:val="4"/>
              </w:rPr>
              <w:t>施的照明设施；如需要，还应当配备应急照明设</w:t>
            </w:r>
            <w:r>
              <w:rPr>
                <w:spacing w:val="12"/>
              </w:rPr>
              <w:t xml:space="preserve"> </w:t>
            </w:r>
            <w:r>
              <w:rPr>
                <w:spacing w:val="-3"/>
              </w:rPr>
              <w:t>施。</w:t>
            </w:r>
          </w:p>
        </w:tc>
        <w:tc>
          <w:tcPr>
            <w:tcW w:w="4768" w:type="dxa"/>
            <w:vAlign w:val="top"/>
          </w:tcPr>
          <w:p>
            <w:pPr>
              <w:pStyle w:val="6"/>
              <w:spacing w:before="76" w:line="229" w:lineRule="auto"/>
              <w:ind w:left="122"/>
            </w:pPr>
            <w:r>
              <w:rPr>
                <w:spacing w:val="5"/>
              </w:rPr>
              <w:t>符合规定要求。</w:t>
            </w:r>
          </w:p>
        </w:tc>
        <w:tc>
          <w:tcPr>
            <w:tcW w:w="555" w:type="dxa"/>
            <w:vAlign w:val="top"/>
          </w:tcPr>
          <w:p>
            <w:pPr>
              <w:spacing w:before="11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44" w:line="235" w:lineRule="auto"/>
              <w:ind w:left="122" w:right="106"/>
            </w:pPr>
            <w:r>
              <w:rPr>
                <w:spacing w:val="6"/>
              </w:rPr>
              <w:t>照明设施或者防护措施略有不足，光泽和亮度略显</w:t>
            </w:r>
            <w:r>
              <w:rPr>
                <w:spacing w:val="1"/>
              </w:rPr>
              <w:t xml:space="preserve"> </w:t>
            </w:r>
            <w:r>
              <w:rPr>
                <w:spacing w:val="7"/>
              </w:rPr>
              <w:t>不足，或改变物料真实颜色。</w:t>
            </w:r>
          </w:p>
        </w:tc>
        <w:tc>
          <w:tcPr>
            <w:tcW w:w="555" w:type="dxa"/>
            <w:vAlign w:val="top"/>
          </w:tcPr>
          <w:p>
            <w:pPr>
              <w:spacing w:before="222"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286" w:line="231" w:lineRule="auto"/>
              <w:ind w:left="122"/>
            </w:pPr>
            <w:r>
              <w:rPr>
                <w:spacing w:val="7"/>
              </w:rPr>
              <w:t>照明设施或者防护措施严重不足。</w:t>
            </w:r>
          </w:p>
        </w:tc>
        <w:tc>
          <w:tcPr>
            <w:tcW w:w="555" w:type="dxa"/>
            <w:vAlign w:val="top"/>
          </w:tcPr>
          <w:p>
            <w:pPr>
              <w:spacing w:line="263"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403" w:lineRule="auto"/>
              <w:rPr>
                <w:rFonts w:ascii="Arial"/>
                <w:sz w:val="21"/>
              </w:rPr>
            </w:pPr>
          </w:p>
          <w:p>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840" w:type="dxa"/>
            <w:vMerge w:val="restart"/>
            <w:tcBorders>
              <w:bottom w:val="nil"/>
            </w:tcBorders>
            <w:vAlign w:val="top"/>
          </w:tcPr>
          <w:p>
            <w:pPr>
              <w:pStyle w:val="6"/>
              <w:spacing w:before="290" w:line="242" w:lineRule="auto"/>
              <w:ind w:left="212" w:right="213" w:firstLine="11"/>
            </w:pPr>
            <w:r>
              <w:rPr>
                <w:spacing w:val="-1"/>
              </w:rPr>
              <w:t>温控</w:t>
            </w:r>
            <w:r>
              <w:t xml:space="preserve"> </w:t>
            </w:r>
            <w:r>
              <w:rPr>
                <w:spacing w:val="4"/>
              </w:rPr>
              <w:t>设施</w:t>
            </w:r>
          </w:p>
        </w:tc>
        <w:tc>
          <w:tcPr>
            <w:tcW w:w="4528" w:type="dxa"/>
            <w:vMerge w:val="restart"/>
            <w:tcBorders>
              <w:bottom w:val="nil"/>
            </w:tcBorders>
            <w:vAlign w:val="top"/>
          </w:tcPr>
          <w:p>
            <w:pPr>
              <w:pStyle w:val="6"/>
              <w:spacing w:before="287" w:line="244" w:lineRule="auto"/>
              <w:ind w:left="118" w:right="48" w:hanging="2"/>
            </w:pPr>
            <w:r>
              <w:rPr>
                <w:spacing w:val="7"/>
              </w:rPr>
              <w:t>应当根据生产的需要，配备适宜的加热、冷却、</w:t>
            </w:r>
            <w:r>
              <w:rPr>
                <w:spacing w:val="9"/>
              </w:rPr>
              <w:t xml:space="preserve"> </w:t>
            </w:r>
            <w:r>
              <w:rPr>
                <w:spacing w:val="8"/>
              </w:rPr>
              <w:t>冷冻以及用于监测温度和控制室温的设施。</w:t>
            </w:r>
          </w:p>
        </w:tc>
        <w:tc>
          <w:tcPr>
            <w:tcW w:w="4768" w:type="dxa"/>
            <w:vAlign w:val="top"/>
          </w:tcPr>
          <w:p>
            <w:pPr>
              <w:pStyle w:val="6"/>
              <w:spacing w:before="77" w:line="229" w:lineRule="auto"/>
              <w:ind w:left="122"/>
            </w:pPr>
            <w:r>
              <w:rPr>
                <w:spacing w:val="5"/>
              </w:rPr>
              <w:t>符合规定要求。</w:t>
            </w:r>
          </w:p>
        </w:tc>
        <w:tc>
          <w:tcPr>
            <w:tcW w:w="555" w:type="dxa"/>
            <w:vAlign w:val="top"/>
          </w:tcPr>
          <w:p>
            <w:pPr>
              <w:spacing w:before="113"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77" w:line="231" w:lineRule="auto"/>
              <w:ind w:left="120"/>
            </w:pPr>
            <w:r>
              <w:rPr>
                <w:spacing w:val="7"/>
              </w:rPr>
              <w:t>温控或监测设施略有不足。</w:t>
            </w:r>
          </w:p>
        </w:tc>
        <w:tc>
          <w:tcPr>
            <w:tcW w:w="555" w:type="dxa"/>
            <w:vAlign w:val="top"/>
          </w:tcPr>
          <w:p>
            <w:pPr>
              <w:spacing w:before="113"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77" w:line="232" w:lineRule="auto"/>
              <w:ind w:left="120"/>
            </w:pPr>
            <w:r>
              <w:rPr>
                <w:spacing w:val="7"/>
              </w:rPr>
              <w:t>温控或监测设施严重不足。</w:t>
            </w:r>
          </w:p>
        </w:tc>
        <w:tc>
          <w:tcPr>
            <w:tcW w:w="555" w:type="dxa"/>
            <w:vAlign w:val="top"/>
          </w:tcPr>
          <w:p>
            <w:pPr>
              <w:spacing w:before="113"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0"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57"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840" w:type="dxa"/>
            <w:vMerge w:val="restart"/>
            <w:tcBorders>
              <w:bottom w:val="nil"/>
            </w:tcBorders>
            <w:vAlign w:val="top"/>
          </w:tcPr>
          <w:p>
            <w:pPr>
              <w:spacing w:line="358" w:lineRule="auto"/>
              <w:rPr>
                <w:rFonts w:ascii="Arial"/>
                <w:sz w:val="21"/>
              </w:rPr>
            </w:pPr>
          </w:p>
          <w:p>
            <w:pPr>
              <w:spacing w:line="358" w:lineRule="auto"/>
              <w:rPr>
                <w:rFonts w:ascii="Arial"/>
                <w:sz w:val="21"/>
              </w:rPr>
            </w:pPr>
          </w:p>
          <w:p>
            <w:pPr>
              <w:pStyle w:val="6"/>
              <w:spacing w:before="65" w:line="250" w:lineRule="auto"/>
              <w:ind w:left="211" w:right="213" w:hanging="2"/>
              <w:jc w:val="both"/>
            </w:pPr>
            <w:r>
              <w:rPr>
                <w:spacing w:val="6"/>
              </w:rPr>
              <w:t>检验</w:t>
            </w:r>
            <w:r>
              <w:t xml:space="preserve"> </w:t>
            </w:r>
            <w:r>
              <w:rPr>
                <w:spacing w:val="4"/>
              </w:rPr>
              <w:t>设备</w:t>
            </w:r>
            <w:r>
              <w:t xml:space="preserve"> </w:t>
            </w:r>
            <w:r>
              <w:rPr>
                <w:spacing w:val="4"/>
              </w:rPr>
              <w:t>设施</w:t>
            </w:r>
          </w:p>
        </w:tc>
        <w:tc>
          <w:tcPr>
            <w:tcW w:w="4528" w:type="dxa"/>
            <w:vMerge w:val="restart"/>
            <w:tcBorders>
              <w:bottom w:val="nil"/>
            </w:tcBorders>
            <w:vAlign w:val="top"/>
          </w:tcPr>
          <w:p>
            <w:pPr>
              <w:spacing w:line="441" w:lineRule="auto"/>
              <w:rPr>
                <w:rFonts w:ascii="Arial"/>
                <w:sz w:val="21"/>
              </w:rPr>
            </w:pPr>
          </w:p>
          <w:p>
            <w:pPr>
              <w:pStyle w:val="6"/>
              <w:spacing w:before="65" w:line="252" w:lineRule="auto"/>
              <w:ind w:left="118" w:right="43" w:firstLine="37"/>
              <w:jc w:val="both"/>
            </w:pPr>
            <w:r>
              <w:rPr>
                <w:spacing w:val="2"/>
              </w:rPr>
              <w:t>自行检验或部分自行检验的，应当具备与所检项</w:t>
            </w:r>
            <w:r>
              <w:rPr>
                <w:spacing w:val="14"/>
              </w:rPr>
              <w:t xml:space="preserve"> </w:t>
            </w:r>
            <w:r>
              <w:rPr>
                <w:spacing w:val="7"/>
              </w:rPr>
              <w:t>目相适应的检验室、检验仪器设备和检验试剂。</w:t>
            </w:r>
            <w:r>
              <w:rPr>
                <w:spacing w:val="13"/>
              </w:rPr>
              <w:t xml:space="preserve"> </w:t>
            </w:r>
            <w:r>
              <w:rPr>
                <w:spacing w:val="4"/>
              </w:rPr>
              <w:t>检验室应当布局合理，检验仪器设备的数量、性</w:t>
            </w:r>
            <w:r>
              <w:rPr>
                <w:spacing w:val="12"/>
              </w:rPr>
              <w:t xml:space="preserve"> </w:t>
            </w:r>
            <w:r>
              <w:rPr>
                <w:spacing w:val="4"/>
              </w:rPr>
              <w:t>能、精度应当满足相应的检验需求，检验仪器设</w:t>
            </w:r>
            <w:r>
              <w:rPr>
                <w:spacing w:val="12"/>
              </w:rPr>
              <w:t xml:space="preserve"> </w:t>
            </w:r>
            <w:r>
              <w:rPr>
                <w:spacing w:val="7"/>
              </w:rPr>
              <w:t>备应当按期检定或校准。</w:t>
            </w:r>
          </w:p>
        </w:tc>
        <w:tc>
          <w:tcPr>
            <w:tcW w:w="4768" w:type="dxa"/>
            <w:vAlign w:val="top"/>
          </w:tcPr>
          <w:p>
            <w:pPr>
              <w:pStyle w:val="6"/>
              <w:spacing w:before="78" w:line="229" w:lineRule="auto"/>
              <w:ind w:left="122"/>
            </w:pPr>
            <w:r>
              <w:rPr>
                <w:spacing w:val="5"/>
              </w:rPr>
              <w:t>符合规定要求。</w:t>
            </w:r>
          </w:p>
        </w:tc>
        <w:tc>
          <w:tcPr>
            <w:tcW w:w="555" w:type="dxa"/>
            <w:vAlign w:val="top"/>
          </w:tcPr>
          <w:p>
            <w:pPr>
              <w:spacing w:before="11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2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68" w:type="dxa"/>
            <w:vAlign w:val="top"/>
          </w:tcPr>
          <w:p>
            <w:pPr>
              <w:pStyle w:val="6"/>
              <w:spacing w:before="46" w:line="234" w:lineRule="auto"/>
              <w:ind w:left="122" w:right="71" w:hanging="3"/>
            </w:pPr>
            <w:r>
              <w:rPr>
                <w:spacing w:val="6"/>
              </w:rPr>
              <w:t>检验室布局略不合理，或者检验仪器设备性能略有</w:t>
            </w:r>
            <w:r>
              <w:rPr>
                <w:spacing w:val="4"/>
              </w:rPr>
              <w:t xml:space="preserve"> </w:t>
            </w:r>
            <w:r>
              <w:rPr>
                <w:spacing w:val="7"/>
              </w:rPr>
              <w:t>不足，或者个别检验仪器设备未按期检定或校准。</w:t>
            </w:r>
          </w:p>
        </w:tc>
        <w:tc>
          <w:tcPr>
            <w:tcW w:w="555" w:type="dxa"/>
            <w:vAlign w:val="top"/>
          </w:tcPr>
          <w:p>
            <w:pPr>
              <w:spacing w:before="222" w:line="195" w:lineRule="auto"/>
              <w:ind w:left="2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5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62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68" w:type="dxa"/>
            <w:vAlign w:val="top"/>
          </w:tcPr>
          <w:p>
            <w:pPr>
              <w:pStyle w:val="6"/>
              <w:spacing w:before="47" w:line="244" w:lineRule="auto"/>
              <w:ind w:left="118" w:right="103" w:firstLine="9"/>
            </w:pPr>
            <w:r>
              <w:rPr>
                <w:rFonts w:ascii="Times New Roman" w:hAnsi="Times New Roman" w:eastAsia="Times New Roman" w:cs="Times New Roman"/>
                <w:spacing w:val="7"/>
              </w:rPr>
              <w:t>1.</w:t>
            </w:r>
            <w:r>
              <w:rPr>
                <w:spacing w:val="7"/>
              </w:rPr>
              <w:t>检验室布局不合理，严重影响检验工作的正常开</w:t>
            </w:r>
            <w:r>
              <w:rPr>
                <w:spacing w:val="18"/>
              </w:rPr>
              <w:t xml:space="preserve"> </w:t>
            </w:r>
            <w:r>
              <w:rPr>
                <w:spacing w:val="7"/>
              </w:rPr>
              <w:t>展或检测数据的准确性。</w:t>
            </w:r>
          </w:p>
          <w:p>
            <w:pPr>
              <w:pStyle w:val="6"/>
              <w:spacing w:before="32" w:line="244" w:lineRule="auto"/>
              <w:ind w:left="123" w:right="106" w:hanging="15"/>
            </w:pPr>
            <w:r>
              <w:rPr>
                <w:rFonts w:ascii="Times New Roman" w:hAnsi="Times New Roman" w:eastAsia="Times New Roman" w:cs="Times New Roman"/>
                <w:spacing w:val="8"/>
              </w:rPr>
              <w:t>2.</w:t>
            </w:r>
            <w:r>
              <w:rPr>
                <w:spacing w:val="8"/>
              </w:rPr>
              <w:t>检验仪器设备数量、性能、精度不能满足检验需</w:t>
            </w:r>
            <w:r>
              <w:rPr>
                <w:spacing w:val="13"/>
              </w:rPr>
              <w:t xml:space="preserve"> </w:t>
            </w:r>
            <w:r>
              <w:rPr>
                <w:spacing w:val="-6"/>
              </w:rPr>
              <w:t>求。</w:t>
            </w:r>
          </w:p>
          <w:p>
            <w:pPr>
              <w:pStyle w:val="6"/>
              <w:spacing w:before="30" w:line="213" w:lineRule="auto"/>
              <w:ind w:left="112"/>
            </w:pPr>
            <w:r>
              <w:rPr>
                <w:rFonts w:ascii="Times New Roman" w:hAnsi="Times New Roman" w:eastAsia="Times New Roman" w:cs="Times New Roman"/>
                <w:spacing w:val="7"/>
              </w:rPr>
              <w:t>3.</w:t>
            </w:r>
            <w:r>
              <w:rPr>
                <w:spacing w:val="7"/>
              </w:rPr>
              <w:t>检验仪器设备未检定或校准。</w:t>
            </w:r>
          </w:p>
        </w:tc>
        <w:tc>
          <w:tcPr>
            <w:tcW w:w="555" w:type="dxa"/>
            <w:vAlign w:val="top"/>
          </w:tcPr>
          <w:p>
            <w:pPr>
              <w:spacing w:line="291" w:lineRule="auto"/>
              <w:rPr>
                <w:rFonts w:ascii="Arial"/>
                <w:sz w:val="21"/>
              </w:rPr>
            </w:pPr>
          </w:p>
          <w:p>
            <w:pPr>
              <w:spacing w:line="292" w:lineRule="auto"/>
              <w:rPr>
                <w:rFonts w:ascii="Arial"/>
                <w:sz w:val="21"/>
              </w:rPr>
            </w:pPr>
          </w:p>
          <w:p>
            <w:pPr>
              <w:spacing w:before="58" w:line="195" w:lineRule="auto"/>
              <w:ind w:left="23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594" w:type="dxa"/>
            <w:vAlign w:val="top"/>
          </w:tcPr>
          <w:p>
            <w:pPr>
              <w:rPr>
                <w:rFonts w:ascii="Arial"/>
                <w:sz w:val="21"/>
              </w:rPr>
            </w:pPr>
          </w:p>
        </w:tc>
      </w:tr>
    </w:tbl>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100" w:line="226" w:lineRule="auto"/>
        <w:ind w:left="4661"/>
        <w:outlineLvl w:val="0"/>
        <w:rPr>
          <w:rFonts w:ascii="黑体" w:hAnsi="黑体" w:eastAsia="黑体" w:cs="黑体"/>
          <w:sz w:val="31"/>
          <w:szCs w:val="31"/>
        </w:rPr>
      </w:pPr>
      <w:r>
        <w:rPr>
          <w:rFonts w:ascii="黑体" w:hAnsi="黑体" w:eastAsia="黑体" w:cs="黑体"/>
          <w:spacing w:val="5"/>
          <w:sz w:val="31"/>
          <w:szCs w:val="31"/>
        </w:rPr>
        <w:t>三、设备布局和工艺流程（共</w:t>
      </w:r>
      <w:r>
        <w:rPr>
          <w:rFonts w:ascii="黑体" w:hAnsi="黑体" w:eastAsia="黑体" w:cs="黑体"/>
          <w:spacing w:val="-54"/>
          <w:sz w:val="31"/>
          <w:szCs w:val="31"/>
        </w:rPr>
        <w:t xml:space="preserve"> </w:t>
      </w:r>
      <w:r>
        <w:rPr>
          <w:rFonts w:ascii="Times New Roman" w:hAnsi="Times New Roman" w:eastAsia="Times New Roman" w:cs="Times New Roman"/>
          <w:spacing w:val="5"/>
          <w:sz w:val="31"/>
          <w:szCs w:val="31"/>
        </w:rPr>
        <w:t>9</w:t>
      </w:r>
      <w:r>
        <w:rPr>
          <w:rFonts w:ascii="Times New Roman" w:hAnsi="Times New Roman" w:eastAsia="Times New Roman" w:cs="Times New Roman"/>
          <w:spacing w:val="24"/>
          <w:sz w:val="31"/>
          <w:szCs w:val="31"/>
        </w:rPr>
        <w:t xml:space="preserve"> </w:t>
      </w:r>
      <w:r>
        <w:rPr>
          <w:rFonts w:ascii="黑体" w:hAnsi="黑体" w:eastAsia="黑体" w:cs="黑体"/>
          <w:spacing w:val="5"/>
          <w:sz w:val="31"/>
          <w:szCs w:val="31"/>
        </w:rPr>
        <w:t>分）</w:t>
      </w:r>
    </w:p>
    <w:p>
      <w:pPr>
        <w:spacing w:line="226" w:lineRule="auto"/>
        <w:rPr>
          <w:rFonts w:ascii="黑体" w:hAnsi="黑体" w:eastAsia="黑体" w:cs="黑体"/>
          <w:sz w:val="31"/>
          <w:szCs w:val="31"/>
        </w:rPr>
        <w:sectPr>
          <w:footerReference r:id="rId59" w:type="default"/>
          <w:pgSz w:w="15840" w:h="12240"/>
          <w:pgMar w:top="1040" w:right="422" w:bottom="895" w:left="1038" w:header="0" w:footer="723" w:gutter="0"/>
          <w:cols w:space="720" w:num="1"/>
        </w:sectPr>
      </w:pPr>
    </w:p>
    <w:p>
      <w:pPr>
        <w:spacing w:before="12"/>
      </w:pPr>
    </w:p>
    <w:p>
      <w:pPr>
        <w:spacing w:before="12"/>
      </w:pPr>
    </w:p>
    <w:p>
      <w:pPr>
        <w:spacing w:before="11"/>
      </w:pPr>
    </w:p>
    <w:tbl>
      <w:tblPr>
        <w:tblStyle w:val="5"/>
        <w:tblW w:w="14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25"/>
        <w:gridCol w:w="4528"/>
        <w:gridCol w:w="4783"/>
        <w:gridCol w:w="540"/>
        <w:gridCol w:w="1454"/>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35" w:type="dxa"/>
            <w:textDirection w:val="tbRlV"/>
            <w:vAlign w:val="top"/>
          </w:tcPr>
          <w:p>
            <w:pPr>
              <w:spacing w:before="211"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825" w:type="dxa"/>
            <w:vAlign w:val="top"/>
          </w:tcPr>
          <w:p>
            <w:pPr>
              <w:spacing w:before="37" w:line="234" w:lineRule="auto"/>
              <w:ind w:left="203" w:right="206"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1"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23" w:type="dxa"/>
            <w:gridSpan w:val="2"/>
            <w:vAlign w:val="top"/>
          </w:tcPr>
          <w:p>
            <w:pPr>
              <w:spacing w:before="171" w:line="230" w:lineRule="auto"/>
              <w:ind w:left="2244"/>
              <w:rPr>
                <w:rFonts w:ascii="黑体" w:hAnsi="黑体" w:eastAsia="黑体" w:cs="黑体"/>
                <w:sz w:val="20"/>
                <w:szCs w:val="20"/>
              </w:rPr>
            </w:pPr>
            <w:r>
              <w:rPr>
                <w:rFonts w:ascii="黑体" w:hAnsi="黑体" w:eastAsia="黑体" w:cs="黑体"/>
                <w:spacing w:val="7"/>
                <w:sz w:val="20"/>
                <w:szCs w:val="20"/>
              </w:rPr>
              <w:t>评分标准</w:t>
            </w:r>
          </w:p>
        </w:tc>
        <w:tc>
          <w:tcPr>
            <w:tcW w:w="1454" w:type="dxa"/>
            <w:vAlign w:val="top"/>
          </w:tcPr>
          <w:p>
            <w:pPr>
              <w:spacing w:before="171" w:line="230" w:lineRule="auto"/>
              <w:ind w:left="312"/>
              <w:rPr>
                <w:rFonts w:ascii="黑体" w:hAnsi="黑体" w:eastAsia="黑体" w:cs="黑体"/>
                <w:sz w:val="20"/>
                <w:szCs w:val="20"/>
              </w:rPr>
            </w:pPr>
            <w:r>
              <w:rPr>
                <w:rFonts w:ascii="黑体" w:hAnsi="黑体" w:eastAsia="黑体" w:cs="黑体"/>
                <w:spacing w:val="7"/>
                <w:sz w:val="20"/>
                <w:szCs w:val="20"/>
              </w:rPr>
              <w:t>核查记录</w:t>
            </w:r>
          </w:p>
        </w:tc>
        <w:tc>
          <w:tcPr>
            <w:tcW w:w="1628" w:type="dxa"/>
            <w:vAlign w:val="top"/>
          </w:tcPr>
          <w:p>
            <w:pPr>
              <w:spacing w:before="172" w:line="231" w:lineRule="auto"/>
              <w:ind w:left="399"/>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35" w:type="dxa"/>
            <w:vMerge w:val="restart"/>
            <w:tcBorders>
              <w:bottom w:val="nil"/>
            </w:tcBorders>
            <w:vAlign w:val="top"/>
          </w:tcPr>
          <w:p>
            <w:pPr>
              <w:spacing w:line="390" w:lineRule="auto"/>
              <w:rPr>
                <w:rFonts w:ascii="Arial"/>
                <w:sz w:val="21"/>
              </w:rPr>
            </w:pPr>
          </w:p>
          <w:p>
            <w:pPr>
              <w:spacing w:before="57" w:line="195" w:lineRule="auto"/>
              <w:ind w:left="19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825" w:type="dxa"/>
            <w:vMerge w:val="restart"/>
            <w:tcBorders>
              <w:bottom w:val="nil"/>
            </w:tcBorders>
            <w:vAlign w:val="top"/>
          </w:tcPr>
          <w:p>
            <w:pPr>
              <w:pStyle w:val="6"/>
              <w:spacing w:before="278" w:line="238" w:lineRule="auto"/>
              <w:ind w:left="201" w:right="206" w:firstLine="2"/>
            </w:pPr>
            <w:r>
              <w:rPr>
                <w:spacing w:val="4"/>
              </w:rPr>
              <w:t>设备</w:t>
            </w:r>
            <w:r>
              <w:t xml:space="preserve"> </w:t>
            </w:r>
            <w:r>
              <w:rPr>
                <w:spacing w:val="6"/>
              </w:rPr>
              <w:t>布局</w:t>
            </w:r>
          </w:p>
        </w:tc>
        <w:tc>
          <w:tcPr>
            <w:tcW w:w="4528" w:type="dxa"/>
            <w:vMerge w:val="restart"/>
            <w:tcBorders>
              <w:bottom w:val="nil"/>
            </w:tcBorders>
            <w:vAlign w:val="top"/>
          </w:tcPr>
          <w:p>
            <w:pPr>
              <w:pStyle w:val="6"/>
              <w:spacing w:before="277" w:line="241" w:lineRule="auto"/>
              <w:ind w:left="120" w:right="33" w:firstLine="8"/>
            </w:pPr>
            <w:r>
              <w:rPr>
                <w:spacing w:val="14"/>
              </w:rPr>
              <w:t>生产设备应当按照工艺流程有序排列，合理布</w:t>
            </w:r>
            <w:r>
              <w:rPr>
                <w:spacing w:val="5"/>
              </w:rPr>
              <w:t xml:space="preserve"> </w:t>
            </w:r>
            <w:r>
              <w:rPr>
                <w:spacing w:val="-2"/>
              </w:rPr>
              <w:t>局，便于清洁、消毒和维修保养，避免交叉污染。</w:t>
            </w:r>
          </w:p>
        </w:tc>
        <w:tc>
          <w:tcPr>
            <w:tcW w:w="4783" w:type="dxa"/>
            <w:vAlign w:val="top"/>
          </w:tcPr>
          <w:p>
            <w:pPr>
              <w:pStyle w:val="6"/>
              <w:spacing w:before="64" w:line="229" w:lineRule="auto"/>
              <w:ind w:left="122"/>
            </w:pPr>
            <w:r>
              <w:rPr>
                <w:spacing w:val="5"/>
              </w:rPr>
              <w:t>符合规定要求。</w:t>
            </w:r>
          </w:p>
        </w:tc>
        <w:tc>
          <w:tcPr>
            <w:tcW w:w="540" w:type="dxa"/>
            <w:vAlign w:val="top"/>
          </w:tcPr>
          <w:p>
            <w:pPr>
              <w:spacing w:before="102"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3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83" w:type="dxa"/>
            <w:vAlign w:val="top"/>
          </w:tcPr>
          <w:p>
            <w:pPr>
              <w:pStyle w:val="6"/>
              <w:spacing w:before="64" w:line="229" w:lineRule="auto"/>
              <w:ind w:left="118"/>
            </w:pPr>
            <w:r>
              <w:rPr>
                <w:spacing w:val="7"/>
              </w:rPr>
              <w:t>个别设备布局不合理。</w:t>
            </w:r>
          </w:p>
        </w:tc>
        <w:tc>
          <w:tcPr>
            <w:tcW w:w="540" w:type="dxa"/>
            <w:vAlign w:val="top"/>
          </w:tcPr>
          <w:p>
            <w:pPr>
              <w:spacing w:before="101"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tcBorders>
            <w:vAlign w:val="top"/>
          </w:tcPr>
          <w:p>
            <w:pPr>
              <w:rPr>
                <w:rFonts w:ascii="Arial"/>
                <w:sz w:val="21"/>
              </w:rPr>
            </w:pPr>
          </w:p>
        </w:tc>
        <w:tc>
          <w:tcPr>
            <w:tcW w:w="825"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83" w:type="dxa"/>
            <w:vAlign w:val="top"/>
          </w:tcPr>
          <w:p>
            <w:pPr>
              <w:pStyle w:val="6"/>
              <w:spacing w:before="66" w:line="228" w:lineRule="auto"/>
              <w:ind w:left="117"/>
            </w:pPr>
            <w:r>
              <w:rPr>
                <w:spacing w:val="7"/>
              </w:rPr>
              <w:t>设备布局存在交叉污染。</w:t>
            </w:r>
          </w:p>
        </w:tc>
        <w:tc>
          <w:tcPr>
            <w:tcW w:w="540" w:type="dxa"/>
            <w:vAlign w:val="top"/>
          </w:tcPr>
          <w:p>
            <w:pPr>
              <w:spacing w:before="102"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57" w:line="195" w:lineRule="auto"/>
              <w:ind w:left="191"/>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825"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39" w:lineRule="auto"/>
              <w:ind w:left="205" w:right="206" w:firstLine="4"/>
            </w:pPr>
            <w:r>
              <w:rPr>
                <w:spacing w:val="2"/>
              </w:rPr>
              <w:t>工艺</w:t>
            </w:r>
            <w:r>
              <w:t xml:space="preserve"> </w:t>
            </w:r>
            <w:r>
              <w:rPr>
                <w:spacing w:val="4"/>
              </w:rPr>
              <w:t>流程</w:t>
            </w:r>
          </w:p>
        </w:tc>
        <w:tc>
          <w:tcPr>
            <w:tcW w:w="4528" w:type="dxa"/>
            <w:vMerge w:val="restart"/>
            <w:tcBorders>
              <w:bottom w:val="nil"/>
            </w:tcBorders>
            <w:vAlign w:val="top"/>
          </w:tcPr>
          <w:p>
            <w:pPr>
              <w:pStyle w:val="6"/>
              <w:spacing w:before="111" w:line="246" w:lineRule="auto"/>
              <w:ind w:left="117" w:right="106" w:firstLine="9"/>
            </w:pPr>
            <w:r>
              <w:rPr>
                <w:rFonts w:ascii="Times New Roman" w:hAnsi="Times New Roman" w:eastAsia="Times New Roman" w:cs="Times New Roman"/>
                <w:spacing w:val="8"/>
              </w:rPr>
              <w:t xml:space="preserve">1.   </w:t>
            </w:r>
            <w:r>
              <w:rPr>
                <w:spacing w:val="8"/>
              </w:rPr>
              <w:t>应当具备合理的生产工艺流程，</w:t>
            </w:r>
            <w:r>
              <w:rPr>
                <w:spacing w:val="7"/>
              </w:rPr>
              <w:t>防止生产过</w:t>
            </w:r>
            <w:r>
              <w:t xml:space="preserve"> </w:t>
            </w:r>
            <w:r>
              <w:rPr>
                <w:spacing w:val="4"/>
              </w:rPr>
              <w:t>程中造成交叉污染。应严格按照食品安全国家标</w:t>
            </w:r>
            <w:r>
              <w:rPr>
                <w:spacing w:val="10"/>
              </w:rPr>
              <w:t xml:space="preserve"> </w:t>
            </w:r>
            <w:r>
              <w:rPr>
                <w:spacing w:val="4"/>
              </w:rPr>
              <w:t>准、国务院卫生行政部门公告规定的原料、工艺</w:t>
            </w:r>
            <w:r>
              <w:rPr>
                <w:spacing w:val="10"/>
              </w:rPr>
              <w:t xml:space="preserve"> </w:t>
            </w:r>
            <w:r>
              <w:rPr>
                <w:spacing w:val="7"/>
              </w:rPr>
              <w:t>组织生产复配食品添加剂。</w:t>
            </w:r>
          </w:p>
          <w:p>
            <w:pPr>
              <w:pStyle w:val="6"/>
              <w:spacing w:before="22" w:line="246" w:lineRule="auto"/>
              <w:ind w:left="115" w:right="106" w:hanging="8"/>
            </w:pPr>
            <w:r>
              <w:rPr>
                <w:rFonts w:ascii="Times New Roman" w:hAnsi="Times New Roman" w:eastAsia="Times New Roman" w:cs="Times New Roman"/>
                <w:spacing w:val="8"/>
              </w:rPr>
              <w:t xml:space="preserve">2.   </w:t>
            </w:r>
            <w:r>
              <w:rPr>
                <w:spacing w:val="8"/>
              </w:rPr>
              <w:t>对于标准、公告未规定原料和工艺的食品添</w:t>
            </w:r>
            <w:r>
              <w:rPr>
                <w:spacing w:val="15"/>
              </w:rPr>
              <w:t xml:space="preserve"> </w:t>
            </w:r>
            <w:r>
              <w:rPr>
                <w:spacing w:val="4"/>
              </w:rPr>
              <w:t>加剂，企业可自行选择合适的原料和工艺，企业</w:t>
            </w:r>
            <w:r>
              <w:rPr>
                <w:spacing w:val="12"/>
              </w:rPr>
              <w:t xml:space="preserve"> </w:t>
            </w:r>
            <w:r>
              <w:rPr>
                <w:spacing w:val="4"/>
              </w:rPr>
              <w:t>应加强生产过程管理，不得使用可能会给人体带</w:t>
            </w:r>
            <w:r>
              <w:rPr>
                <w:spacing w:val="14"/>
              </w:rPr>
              <w:t xml:space="preserve"> </w:t>
            </w:r>
            <w:r>
              <w:rPr>
                <w:spacing w:val="7"/>
              </w:rPr>
              <w:t>来健康风险的生产工艺。</w:t>
            </w:r>
          </w:p>
        </w:tc>
        <w:tc>
          <w:tcPr>
            <w:tcW w:w="4783" w:type="dxa"/>
            <w:vAlign w:val="top"/>
          </w:tcPr>
          <w:p>
            <w:pPr>
              <w:pStyle w:val="6"/>
              <w:spacing w:before="67" w:line="229" w:lineRule="auto"/>
              <w:ind w:left="122"/>
            </w:pPr>
            <w:r>
              <w:rPr>
                <w:spacing w:val="5"/>
              </w:rPr>
              <w:t>符合规定要求。</w:t>
            </w:r>
          </w:p>
        </w:tc>
        <w:tc>
          <w:tcPr>
            <w:tcW w:w="540" w:type="dxa"/>
            <w:vAlign w:val="top"/>
          </w:tcPr>
          <w:p>
            <w:pPr>
              <w:spacing w:before="102"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83" w:type="dxa"/>
            <w:vAlign w:val="top"/>
          </w:tcPr>
          <w:p>
            <w:pPr>
              <w:pStyle w:val="6"/>
              <w:spacing w:before="67" w:line="231" w:lineRule="auto"/>
              <w:ind w:left="118"/>
            </w:pPr>
            <w:r>
              <w:rPr>
                <w:spacing w:val="7"/>
              </w:rPr>
              <w:t>个别工艺流程略不合理。</w:t>
            </w:r>
          </w:p>
        </w:tc>
        <w:tc>
          <w:tcPr>
            <w:tcW w:w="540" w:type="dxa"/>
            <w:vAlign w:val="top"/>
          </w:tcPr>
          <w:p>
            <w:pPr>
              <w:spacing w:before="103"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63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83" w:type="dxa"/>
            <w:vAlign w:val="top"/>
          </w:tcPr>
          <w:p>
            <w:pPr>
              <w:pStyle w:val="6"/>
              <w:spacing w:before="34" w:line="245" w:lineRule="auto"/>
              <w:ind w:left="108" w:right="86" w:firstLine="20"/>
              <w:jc w:val="both"/>
            </w:pPr>
            <w:r>
              <w:rPr>
                <w:rFonts w:ascii="Times New Roman" w:hAnsi="Times New Roman" w:eastAsia="Times New Roman" w:cs="Times New Roman"/>
                <w:spacing w:val="5"/>
              </w:rPr>
              <w:t>1.</w:t>
            </w:r>
            <w:r>
              <w:rPr>
                <w:rFonts w:ascii="Times New Roman" w:hAnsi="Times New Roman" w:eastAsia="Times New Roman" w:cs="Times New Roman"/>
                <w:spacing w:val="-15"/>
              </w:rPr>
              <w:t xml:space="preserve"> </w:t>
            </w:r>
            <w:r>
              <w:rPr>
                <w:spacing w:val="5"/>
              </w:rPr>
              <w:t>原料和工艺流程不符合食品安全国家标准、</w:t>
            </w:r>
            <w:r>
              <w:rPr>
                <w:spacing w:val="-56"/>
              </w:rPr>
              <w:t xml:space="preserve"> </w:t>
            </w:r>
            <w:r>
              <w:rPr>
                <w:spacing w:val="5"/>
              </w:rPr>
              <w:t>国务</w:t>
            </w:r>
            <w:r>
              <w:t xml:space="preserve"> </w:t>
            </w:r>
            <w:r>
              <w:rPr>
                <w:spacing w:val="7"/>
              </w:rPr>
              <w:t>院卫生行政部门公告，或对于标准、公告未规定原</w:t>
            </w:r>
            <w:r>
              <w:rPr>
                <w:spacing w:val="10"/>
              </w:rPr>
              <w:t xml:space="preserve"> </w:t>
            </w:r>
            <w:r>
              <w:rPr>
                <w:spacing w:val="7"/>
              </w:rPr>
              <w:t>料和工艺的食品添加剂，企业没有加强生产过程管</w:t>
            </w:r>
            <w:r>
              <w:rPr>
                <w:spacing w:val="10"/>
              </w:rPr>
              <w:t xml:space="preserve"> </w:t>
            </w:r>
            <w:r>
              <w:rPr>
                <w:spacing w:val="8"/>
              </w:rPr>
              <w:t>理，使用可能会给人体带来健康风险的生产工艺。</w:t>
            </w:r>
            <w:r>
              <w:rPr>
                <w:spacing w:val="6"/>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20"/>
              </w:rPr>
              <w:t xml:space="preserve"> </w:t>
            </w:r>
            <w:r>
              <w:rPr>
                <w:spacing w:val="8"/>
              </w:rPr>
              <w:t>工艺流程存在交叉污染，或者不符合产品执行标</w:t>
            </w:r>
            <w:r>
              <w:t xml:space="preserve"> </w:t>
            </w:r>
            <w:r>
              <w:rPr>
                <w:spacing w:val="6"/>
              </w:rPr>
              <w:t>准的规定。</w:t>
            </w:r>
          </w:p>
        </w:tc>
        <w:tc>
          <w:tcPr>
            <w:tcW w:w="540" w:type="dxa"/>
            <w:vAlign w:val="top"/>
          </w:tcPr>
          <w:p>
            <w:pPr>
              <w:spacing w:line="343" w:lineRule="auto"/>
              <w:rPr>
                <w:rFonts w:ascii="Arial"/>
                <w:sz w:val="21"/>
              </w:rPr>
            </w:pPr>
          </w:p>
          <w:p>
            <w:pPr>
              <w:spacing w:line="344" w:lineRule="auto"/>
              <w:rPr>
                <w:rFonts w:ascii="Arial"/>
                <w:sz w:val="21"/>
              </w:rPr>
            </w:pPr>
          </w:p>
          <w:p>
            <w:pPr>
              <w:spacing w:before="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4528" w:type="dxa"/>
            <w:vMerge w:val="restart"/>
            <w:tcBorders>
              <w:bottom w:val="nil"/>
            </w:tcBorders>
            <w:vAlign w:val="top"/>
          </w:tcPr>
          <w:p>
            <w:pPr>
              <w:pStyle w:val="6"/>
              <w:spacing w:before="38" w:line="244" w:lineRule="auto"/>
              <w:ind w:left="115" w:right="106" w:hanging="8"/>
              <w:jc w:val="both"/>
            </w:pPr>
            <w:r>
              <w:rPr>
                <w:rFonts w:ascii="Times New Roman" w:hAnsi="Times New Roman" w:eastAsia="Times New Roman" w:cs="Times New Roman"/>
                <w:spacing w:val="7"/>
              </w:rPr>
              <w:t>2.</w:t>
            </w:r>
            <w:r>
              <w:rPr>
                <w:spacing w:val="7"/>
              </w:rPr>
              <w:t>应当制定所需的产品配方、工艺规程等工艺文</w:t>
            </w:r>
            <w:r>
              <w:rPr>
                <w:spacing w:val="3"/>
              </w:rPr>
              <w:t xml:space="preserve"> </w:t>
            </w:r>
            <w:r>
              <w:rPr>
                <w:spacing w:val="4"/>
              </w:rPr>
              <w:t>件，明确生产过程中的食品安全关键环节和控制</w:t>
            </w:r>
            <w:r>
              <w:rPr>
                <w:spacing w:val="14"/>
              </w:rPr>
              <w:t xml:space="preserve"> </w:t>
            </w:r>
            <w:r>
              <w:rPr>
                <w:spacing w:val="4"/>
              </w:rPr>
              <w:t>措施。复配食品添加剂配方、有害物质、致病性</w:t>
            </w:r>
            <w:r>
              <w:rPr>
                <w:spacing w:val="14"/>
              </w:rPr>
              <w:t xml:space="preserve"> 微生物等控制要求应当符合食品安全国家标准</w:t>
            </w:r>
            <w:r>
              <w:rPr>
                <w:spacing w:val="18"/>
              </w:rPr>
              <w:t xml:space="preserve"> </w:t>
            </w:r>
            <w:r>
              <w:rPr>
                <w:spacing w:val="1"/>
              </w:rPr>
              <w:t>规定。</w:t>
            </w:r>
          </w:p>
        </w:tc>
        <w:tc>
          <w:tcPr>
            <w:tcW w:w="4783" w:type="dxa"/>
            <w:vAlign w:val="top"/>
          </w:tcPr>
          <w:p>
            <w:pPr>
              <w:pStyle w:val="6"/>
              <w:spacing w:before="67" w:line="229" w:lineRule="auto"/>
              <w:ind w:left="122"/>
            </w:pPr>
            <w:r>
              <w:rPr>
                <w:spacing w:val="5"/>
              </w:rPr>
              <w:t>符合规定要求。</w:t>
            </w:r>
          </w:p>
        </w:tc>
        <w:tc>
          <w:tcPr>
            <w:tcW w:w="540" w:type="dxa"/>
            <w:vAlign w:val="top"/>
          </w:tcPr>
          <w:p>
            <w:pPr>
              <w:spacing w:before="105"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83" w:type="dxa"/>
            <w:vAlign w:val="top"/>
          </w:tcPr>
          <w:p>
            <w:pPr>
              <w:pStyle w:val="6"/>
              <w:spacing w:before="67" w:line="231" w:lineRule="auto"/>
              <w:ind w:left="122"/>
            </w:pPr>
            <w:r>
              <w:rPr>
                <w:spacing w:val="6"/>
              </w:rPr>
              <w:t>工艺文件略有不足。</w:t>
            </w:r>
          </w:p>
        </w:tc>
        <w:tc>
          <w:tcPr>
            <w:tcW w:w="540" w:type="dxa"/>
            <w:vAlign w:val="top"/>
          </w:tcPr>
          <w:p>
            <w:pPr>
              <w:spacing w:before="106"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35" w:type="dxa"/>
            <w:vMerge w:val="continue"/>
            <w:tcBorders>
              <w:top w:val="nil"/>
            </w:tcBorders>
            <w:vAlign w:val="top"/>
          </w:tcPr>
          <w:p>
            <w:pPr>
              <w:rPr>
                <w:rFonts w:ascii="Arial"/>
                <w:sz w:val="21"/>
              </w:rPr>
            </w:pPr>
          </w:p>
        </w:tc>
        <w:tc>
          <w:tcPr>
            <w:tcW w:w="825"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83" w:type="dxa"/>
            <w:vAlign w:val="top"/>
          </w:tcPr>
          <w:p>
            <w:pPr>
              <w:pStyle w:val="6"/>
              <w:spacing w:before="228" w:line="229" w:lineRule="auto"/>
              <w:ind w:left="122"/>
            </w:pPr>
            <w:r>
              <w:rPr>
                <w:spacing w:val="8"/>
              </w:rPr>
              <w:t>工艺文件严重不足，或不具备操作性。</w:t>
            </w:r>
          </w:p>
        </w:tc>
        <w:tc>
          <w:tcPr>
            <w:tcW w:w="540" w:type="dxa"/>
            <w:vAlign w:val="top"/>
          </w:tcPr>
          <w:p>
            <w:pPr>
              <w:spacing w:before="264"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28" w:type="dxa"/>
            <w:vAlign w:val="top"/>
          </w:tcPr>
          <w:p>
            <w:pPr>
              <w:rPr>
                <w:rFonts w:ascii="Arial"/>
                <w:sz w:val="21"/>
              </w:rPr>
            </w:pPr>
          </w:p>
        </w:tc>
      </w:tr>
    </w:tbl>
    <w:p>
      <w:pPr>
        <w:spacing w:before="287" w:line="226" w:lineRule="auto"/>
        <w:ind w:left="5473"/>
        <w:outlineLvl w:val="0"/>
        <w:rPr>
          <w:rFonts w:ascii="黑体" w:hAnsi="黑体" w:eastAsia="黑体" w:cs="黑体"/>
          <w:sz w:val="31"/>
          <w:szCs w:val="31"/>
        </w:rPr>
      </w:pPr>
      <w:r>
        <w:rPr>
          <w:rFonts w:ascii="黑体" w:hAnsi="黑体" w:eastAsia="黑体" w:cs="黑体"/>
          <w:spacing w:val="2"/>
          <w:sz w:val="31"/>
          <w:szCs w:val="31"/>
        </w:rPr>
        <w:t>四、人员管理（共</w:t>
      </w:r>
      <w:r>
        <w:rPr>
          <w:rFonts w:ascii="黑体" w:hAnsi="黑体" w:eastAsia="黑体" w:cs="黑体"/>
          <w:spacing w:val="-56"/>
          <w:sz w:val="31"/>
          <w:szCs w:val="31"/>
        </w:rPr>
        <w:t xml:space="preserve"> </w:t>
      </w:r>
      <w:r>
        <w:rPr>
          <w:rFonts w:ascii="Times New Roman" w:hAnsi="Times New Roman" w:eastAsia="Times New Roman" w:cs="Times New Roman"/>
          <w:spacing w:val="2"/>
          <w:sz w:val="31"/>
          <w:szCs w:val="31"/>
        </w:rPr>
        <w:t>9</w:t>
      </w:r>
      <w:r>
        <w:rPr>
          <w:rFonts w:ascii="Times New Roman" w:hAnsi="Times New Roman" w:eastAsia="Times New Roman" w:cs="Times New Roman"/>
          <w:spacing w:val="23"/>
          <w:sz w:val="31"/>
          <w:szCs w:val="31"/>
        </w:rPr>
        <w:t xml:space="preserve"> </w:t>
      </w:r>
      <w:r>
        <w:rPr>
          <w:rFonts w:ascii="黑体" w:hAnsi="黑体" w:eastAsia="黑体" w:cs="黑体"/>
          <w:spacing w:val="2"/>
          <w:sz w:val="31"/>
          <w:szCs w:val="31"/>
        </w:rPr>
        <w:t>分）</w:t>
      </w:r>
    </w:p>
    <w:p>
      <w:pPr>
        <w:spacing w:line="93" w:lineRule="exact"/>
      </w:pPr>
    </w:p>
    <w:tbl>
      <w:tblPr>
        <w:tblStyle w:val="5"/>
        <w:tblW w:w="14348"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795"/>
        <w:gridCol w:w="4528"/>
        <w:gridCol w:w="4783"/>
        <w:gridCol w:w="525"/>
        <w:gridCol w:w="1454"/>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05" w:type="dxa"/>
            <w:textDirection w:val="tbRlV"/>
            <w:vAlign w:val="top"/>
          </w:tcPr>
          <w:p>
            <w:pPr>
              <w:spacing w:before="196" w:line="216" w:lineRule="auto"/>
              <w:ind w:left="36"/>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95" w:type="dxa"/>
            <w:vAlign w:val="top"/>
          </w:tcPr>
          <w:p>
            <w:pPr>
              <w:spacing w:before="35" w:line="234" w:lineRule="auto"/>
              <w:ind w:left="188" w:right="19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0"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08" w:type="dxa"/>
            <w:gridSpan w:val="2"/>
            <w:vAlign w:val="top"/>
          </w:tcPr>
          <w:p>
            <w:pPr>
              <w:spacing w:before="170" w:line="230" w:lineRule="auto"/>
              <w:ind w:left="2240"/>
              <w:rPr>
                <w:rFonts w:ascii="黑体" w:hAnsi="黑体" w:eastAsia="黑体" w:cs="黑体"/>
                <w:sz w:val="20"/>
                <w:szCs w:val="20"/>
              </w:rPr>
            </w:pPr>
            <w:r>
              <w:rPr>
                <w:rFonts w:ascii="黑体" w:hAnsi="黑体" w:eastAsia="黑体" w:cs="黑体"/>
                <w:spacing w:val="7"/>
                <w:sz w:val="20"/>
                <w:szCs w:val="20"/>
              </w:rPr>
              <w:t>评分标准</w:t>
            </w:r>
          </w:p>
        </w:tc>
        <w:tc>
          <w:tcPr>
            <w:tcW w:w="1454" w:type="dxa"/>
            <w:vAlign w:val="top"/>
          </w:tcPr>
          <w:p>
            <w:pPr>
              <w:spacing w:before="170" w:line="230" w:lineRule="auto"/>
              <w:ind w:left="312"/>
              <w:rPr>
                <w:rFonts w:ascii="黑体" w:hAnsi="黑体" w:eastAsia="黑体" w:cs="黑体"/>
                <w:sz w:val="20"/>
                <w:szCs w:val="20"/>
              </w:rPr>
            </w:pPr>
            <w:r>
              <w:rPr>
                <w:rFonts w:ascii="黑体" w:hAnsi="黑体" w:eastAsia="黑体" w:cs="黑体"/>
                <w:spacing w:val="7"/>
                <w:sz w:val="20"/>
                <w:szCs w:val="20"/>
              </w:rPr>
              <w:t>核查记录</w:t>
            </w:r>
          </w:p>
        </w:tc>
        <w:tc>
          <w:tcPr>
            <w:tcW w:w="1658" w:type="dxa"/>
            <w:vAlign w:val="top"/>
          </w:tcPr>
          <w:p>
            <w:pPr>
              <w:spacing w:before="170" w:line="231" w:lineRule="auto"/>
              <w:ind w:left="414"/>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57" w:line="195" w:lineRule="auto"/>
              <w:ind w:left="172"/>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1</w:t>
            </w:r>
          </w:p>
        </w:tc>
        <w:tc>
          <w:tcPr>
            <w:tcW w:w="795" w:type="dxa"/>
            <w:vMerge w:val="restart"/>
            <w:tcBorders>
              <w:bottom w:val="nil"/>
            </w:tcBorders>
            <w:vAlign w:val="top"/>
          </w:tcPr>
          <w:p>
            <w:pPr>
              <w:spacing w:line="335" w:lineRule="auto"/>
              <w:rPr>
                <w:rFonts w:ascii="Arial"/>
                <w:sz w:val="21"/>
              </w:rPr>
            </w:pPr>
          </w:p>
          <w:p>
            <w:pPr>
              <w:spacing w:line="336" w:lineRule="auto"/>
              <w:rPr>
                <w:rFonts w:ascii="Arial"/>
                <w:sz w:val="21"/>
              </w:rPr>
            </w:pPr>
          </w:p>
          <w:p>
            <w:pPr>
              <w:pStyle w:val="6"/>
              <w:spacing w:before="65" w:line="238" w:lineRule="auto"/>
              <w:ind w:left="194" w:right="191" w:hanging="4"/>
            </w:pPr>
            <w:r>
              <w:rPr>
                <w:spacing w:val="3"/>
              </w:rPr>
              <w:t>人员</w:t>
            </w:r>
            <w:r>
              <w:t xml:space="preserve"> </w:t>
            </w:r>
            <w:r>
              <w:rPr>
                <w:spacing w:val="1"/>
              </w:rPr>
              <w:t>要求</w:t>
            </w:r>
          </w:p>
        </w:tc>
        <w:tc>
          <w:tcPr>
            <w:tcW w:w="4528" w:type="dxa"/>
            <w:vMerge w:val="restart"/>
            <w:tcBorders>
              <w:bottom w:val="nil"/>
            </w:tcBorders>
            <w:vAlign w:val="top"/>
          </w:tcPr>
          <w:p>
            <w:pPr>
              <w:pStyle w:val="6"/>
              <w:spacing w:before="47" w:line="242" w:lineRule="auto"/>
              <w:ind w:left="136" w:right="274" w:hanging="9"/>
            </w:pPr>
            <w:r>
              <w:rPr>
                <w:rFonts w:ascii="Times New Roman" w:hAnsi="Times New Roman" w:eastAsia="Times New Roman" w:cs="Times New Roman"/>
                <w:spacing w:val="8"/>
              </w:rPr>
              <w:t>1.</w:t>
            </w:r>
            <w:r>
              <w:rPr>
                <w:spacing w:val="8"/>
              </w:rPr>
              <w:t>应当配备专职或兼职食品安全管理人员和食</w:t>
            </w:r>
            <w:r>
              <w:rPr>
                <w:spacing w:val="1"/>
              </w:rPr>
              <w:t xml:space="preserve"> </w:t>
            </w:r>
            <w:r>
              <w:rPr>
                <w:spacing w:val="5"/>
              </w:rPr>
              <w:t>品安全专业技术人员。</w:t>
            </w:r>
          </w:p>
          <w:p>
            <w:pPr>
              <w:pStyle w:val="6"/>
              <w:spacing w:before="33" w:line="249" w:lineRule="auto"/>
              <w:ind w:left="108" w:right="106" w:hanging="1"/>
              <w:jc w:val="both"/>
            </w:pPr>
            <w:r>
              <w:rPr>
                <w:rFonts w:ascii="Times New Roman" w:hAnsi="Times New Roman" w:eastAsia="Times New Roman" w:cs="Times New Roman"/>
                <w:spacing w:val="7"/>
              </w:rPr>
              <w:t>2.</w:t>
            </w:r>
            <w:r>
              <w:rPr>
                <w:spacing w:val="7"/>
              </w:rPr>
              <w:t>企业主要负责人、食品安全总监、食品安全员</w:t>
            </w:r>
            <w:r>
              <w:rPr>
                <w:spacing w:val="3"/>
              </w:rPr>
              <w:t xml:space="preserve"> </w:t>
            </w:r>
            <w:r>
              <w:rPr>
                <w:spacing w:val="5"/>
              </w:rPr>
              <w:t>应当符合《企业落实食品安全主体责任监督</w:t>
            </w:r>
            <w:r>
              <w:rPr>
                <w:spacing w:val="4"/>
              </w:rPr>
              <w:t>管理</w:t>
            </w:r>
            <w:r>
              <w:t xml:space="preserve"> </w:t>
            </w:r>
            <w:r>
              <w:rPr>
                <w:spacing w:val="5"/>
              </w:rPr>
              <w:t>规定》。食品安全管理人员应当掌握食品安全法</w:t>
            </w:r>
            <w:r>
              <w:rPr>
                <w:spacing w:val="1"/>
              </w:rPr>
              <w:t xml:space="preserve"> </w:t>
            </w:r>
            <w:r>
              <w:rPr>
                <w:spacing w:val="5"/>
              </w:rPr>
              <w:t>律法规、食品添加剂相关标准及生产加工专业知</w:t>
            </w:r>
            <w:r>
              <w:rPr>
                <w:spacing w:val="1"/>
              </w:rPr>
              <w:t xml:space="preserve"> </w:t>
            </w:r>
            <w:r>
              <w:rPr>
                <w:spacing w:val="8"/>
              </w:rPr>
              <w:t>识，具备食品安全管理能力。</w:t>
            </w:r>
          </w:p>
        </w:tc>
        <w:tc>
          <w:tcPr>
            <w:tcW w:w="4783" w:type="dxa"/>
            <w:vAlign w:val="top"/>
          </w:tcPr>
          <w:p>
            <w:pPr>
              <w:pStyle w:val="6"/>
              <w:spacing w:before="76" w:line="224" w:lineRule="auto"/>
              <w:ind w:left="117"/>
            </w:pPr>
            <w:r>
              <w:rPr>
                <w:spacing w:val="6"/>
              </w:rPr>
              <w:t>符合规定要求。</w:t>
            </w:r>
          </w:p>
        </w:tc>
        <w:tc>
          <w:tcPr>
            <w:tcW w:w="525" w:type="dxa"/>
            <w:vAlign w:val="top"/>
          </w:tcPr>
          <w:p>
            <w:pPr>
              <w:spacing w:before="104"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05" w:type="dxa"/>
            <w:vMerge w:val="continue"/>
            <w:tcBorders>
              <w:top w:val="nil"/>
              <w:bottom w:val="nil"/>
            </w:tcBorders>
            <w:vAlign w:val="top"/>
          </w:tcPr>
          <w:p>
            <w:pPr>
              <w:rPr>
                <w:rFonts w:ascii="Arial"/>
                <w:sz w:val="21"/>
              </w:rPr>
            </w:pPr>
          </w:p>
        </w:tc>
        <w:tc>
          <w:tcPr>
            <w:tcW w:w="795"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83" w:type="dxa"/>
            <w:vAlign w:val="top"/>
          </w:tcPr>
          <w:p>
            <w:pPr>
              <w:pStyle w:val="6"/>
              <w:spacing w:before="49" w:line="226" w:lineRule="auto"/>
              <w:ind w:left="128"/>
            </w:pPr>
            <w:r>
              <w:rPr>
                <w:rFonts w:ascii="Times New Roman" w:hAnsi="Times New Roman" w:eastAsia="Times New Roman" w:cs="Times New Roman"/>
                <w:spacing w:val="6"/>
              </w:rPr>
              <w:t>1.</w:t>
            </w:r>
            <w:r>
              <w:rPr>
                <w:spacing w:val="6"/>
              </w:rPr>
              <w:t>个别人员职责不太明确。</w:t>
            </w:r>
          </w:p>
          <w:p>
            <w:pPr>
              <w:pStyle w:val="6"/>
              <w:spacing w:before="33" w:line="209" w:lineRule="auto"/>
              <w:ind w:left="108"/>
            </w:pPr>
            <w:r>
              <w:rPr>
                <w:rFonts w:ascii="Times New Roman" w:hAnsi="Times New Roman" w:eastAsia="Times New Roman" w:cs="Times New Roman"/>
                <w:spacing w:val="8"/>
              </w:rPr>
              <w:t>2.</w:t>
            </w:r>
            <w:r>
              <w:rPr>
                <w:spacing w:val="8"/>
              </w:rPr>
              <w:t>个别人员资质不符合规定要求。</w:t>
            </w:r>
          </w:p>
        </w:tc>
        <w:tc>
          <w:tcPr>
            <w:tcW w:w="525" w:type="dxa"/>
            <w:vAlign w:val="top"/>
          </w:tcPr>
          <w:p>
            <w:pPr>
              <w:spacing w:before="213"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605" w:type="dxa"/>
            <w:vMerge w:val="continue"/>
            <w:tcBorders>
              <w:top w:val="nil"/>
            </w:tcBorders>
            <w:vAlign w:val="top"/>
          </w:tcPr>
          <w:p>
            <w:pPr>
              <w:rPr>
                <w:rFonts w:ascii="Arial"/>
                <w:sz w:val="21"/>
              </w:rPr>
            </w:pPr>
          </w:p>
        </w:tc>
        <w:tc>
          <w:tcPr>
            <w:tcW w:w="795"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83" w:type="dxa"/>
            <w:vAlign w:val="top"/>
          </w:tcPr>
          <w:p>
            <w:pPr>
              <w:pStyle w:val="6"/>
              <w:spacing w:before="150" w:line="225" w:lineRule="auto"/>
              <w:ind w:left="128"/>
            </w:pPr>
            <w:r>
              <w:rPr>
                <w:rFonts w:ascii="Times New Roman" w:hAnsi="Times New Roman" w:eastAsia="Times New Roman" w:cs="Times New Roman"/>
                <w:spacing w:val="7"/>
              </w:rPr>
              <w:t>1.</w:t>
            </w:r>
            <w:r>
              <w:rPr>
                <w:spacing w:val="7"/>
              </w:rPr>
              <w:t>未设立独立的食品质量安全管理机构。</w:t>
            </w:r>
          </w:p>
          <w:p>
            <w:pPr>
              <w:pStyle w:val="6"/>
              <w:spacing w:before="33" w:line="245" w:lineRule="auto"/>
              <w:ind w:left="116" w:right="104" w:hanging="8"/>
            </w:pPr>
            <w:r>
              <w:rPr>
                <w:rFonts w:ascii="Times New Roman" w:hAnsi="Times New Roman" w:eastAsia="Times New Roman" w:cs="Times New Roman"/>
                <w:spacing w:val="9"/>
              </w:rPr>
              <w:t>2.</w:t>
            </w:r>
            <w:r>
              <w:rPr>
                <w:spacing w:val="9"/>
              </w:rPr>
              <w:t>未配备专职的食品安全总监、食品安全员等食品</w:t>
            </w:r>
            <w:r>
              <w:rPr>
                <w:spacing w:val="7"/>
              </w:rPr>
              <w:t xml:space="preserve"> </w:t>
            </w:r>
            <w:r>
              <w:rPr>
                <w:spacing w:val="6"/>
              </w:rPr>
              <w:t>安全管理人员。</w:t>
            </w:r>
          </w:p>
        </w:tc>
        <w:tc>
          <w:tcPr>
            <w:tcW w:w="525" w:type="dxa"/>
            <w:vAlign w:val="top"/>
          </w:tcPr>
          <w:p>
            <w:pPr>
              <w:spacing w:line="396" w:lineRule="auto"/>
              <w:rPr>
                <w:rFonts w:ascii="Arial"/>
                <w:sz w:val="21"/>
              </w:rPr>
            </w:pPr>
          </w:p>
          <w:p>
            <w:pPr>
              <w:spacing w:before="57"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5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0" w:type="default"/>
          <w:pgSz w:w="15840" w:h="12240"/>
          <w:pgMar w:top="1040" w:right="388" w:bottom="897" w:left="1038" w:header="0" w:footer="723" w:gutter="0"/>
          <w:cols w:space="720" w:num="1"/>
        </w:sectPr>
      </w:pPr>
    </w:p>
    <w:p>
      <w:pPr>
        <w:spacing w:before="12"/>
      </w:pPr>
    </w:p>
    <w:p>
      <w:pPr>
        <w:spacing w:before="12"/>
      </w:pPr>
    </w:p>
    <w:p>
      <w:pPr>
        <w:spacing w:before="11"/>
      </w:pPr>
    </w:p>
    <w:tbl>
      <w:tblPr>
        <w:tblStyle w:val="5"/>
        <w:tblW w:w="143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795"/>
        <w:gridCol w:w="4528"/>
        <w:gridCol w:w="4783"/>
        <w:gridCol w:w="525"/>
        <w:gridCol w:w="1454"/>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05" w:type="dxa"/>
            <w:textDirection w:val="tbRlV"/>
            <w:vAlign w:val="top"/>
          </w:tcPr>
          <w:p>
            <w:pPr>
              <w:spacing w:before="196" w:line="216" w:lineRule="auto"/>
              <w:ind w:left="37"/>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41"/>
                <w:sz w:val="20"/>
                <w:szCs w:val="20"/>
              </w:rPr>
              <w:t xml:space="preserve"> </w:t>
            </w:r>
            <w:r>
              <w:rPr>
                <w:rFonts w:ascii="黑体" w:hAnsi="黑体" w:eastAsia="黑体" w:cs="黑体"/>
                <w:spacing w:val="12"/>
                <w:sz w:val="20"/>
                <w:szCs w:val="20"/>
              </w:rPr>
              <w:t>号</w:t>
            </w:r>
          </w:p>
        </w:tc>
        <w:tc>
          <w:tcPr>
            <w:tcW w:w="795" w:type="dxa"/>
            <w:vAlign w:val="top"/>
          </w:tcPr>
          <w:p>
            <w:pPr>
              <w:spacing w:before="37" w:line="234" w:lineRule="auto"/>
              <w:ind w:left="188" w:right="19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28" w:type="dxa"/>
            <w:vAlign w:val="top"/>
          </w:tcPr>
          <w:p>
            <w:pPr>
              <w:spacing w:before="171" w:line="231" w:lineRule="auto"/>
              <w:ind w:left="1847"/>
              <w:rPr>
                <w:rFonts w:ascii="黑体" w:hAnsi="黑体" w:eastAsia="黑体" w:cs="黑体"/>
                <w:sz w:val="20"/>
                <w:szCs w:val="20"/>
              </w:rPr>
            </w:pPr>
            <w:r>
              <w:rPr>
                <w:rFonts w:ascii="黑体" w:hAnsi="黑体" w:eastAsia="黑体" w:cs="黑体"/>
                <w:spacing w:val="7"/>
                <w:sz w:val="20"/>
                <w:szCs w:val="20"/>
              </w:rPr>
              <w:t>核查内容</w:t>
            </w:r>
          </w:p>
        </w:tc>
        <w:tc>
          <w:tcPr>
            <w:tcW w:w="5308" w:type="dxa"/>
            <w:gridSpan w:val="2"/>
            <w:vAlign w:val="top"/>
          </w:tcPr>
          <w:p>
            <w:pPr>
              <w:spacing w:before="171" w:line="230" w:lineRule="auto"/>
              <w:ind w:left="2240"/>
              <w:rPr>
                <w:rFonts w:ascii="黑体" w:hAnsi="黑体" w:eastAsia="黑体" w:cs="黑体"/>
                <w:sz w:val="20"/>
                <w:szCs w:val="20"/>
              </w:rPr>
            </w:pPr>
            <w:r>
              <w:rPr>
                <w:rFonts w:ascii="黑体" w:hAnsi="黑体" w:eastAsia="黑体" w:cs="黑体"/>
                <w:spacing w:val="7"/>
                <w:sz w:val="20"/>
                <w:szCs w:val="20"/>
              </w:rPr>
              <w:t>评分标准</w:t>
            </w:r>
          </w:p>
        </w:tc>
        <w:tc>
          <w:tcPr>
            <w:tcW w:w="1454" w:type="dxa"/>
            <w:vAlign w:val="top"/>
          </w:tcPr>
          <w:p>
            <w:pPr>
              <w:spacing w:before="171" w:line="230" w:lineRule="auto"/>
              <w:ind w:left="312"/>
              <w:rPr>
                <w:rFonts w:ascii="黑体" w:hAnsi="黑体" w:eastAsia="黑体" w:cs="黑体"/>
                <w:sz w:val="20"/>
                <w:szCs w:val="20"/>
              </w:rPr>
            </w:pPr>
            <w:r>
              <w:rPr>
                <w:rFonts w:ascii="黑体" w:hAnsi="黑体" w:eastAsia="黑体" w:cs="黑体"/>
                <w:spacing w:val="7"/>
                <w:sz w:val="20"/>
                <w:szCs w:val="20"/>
              </w:rPr>
              <w:t>核查记录</w:t>
            </w:r>
          </w:p>
        </w:tc>
        <w:tc>
          <w:tcPr>
            <w:tcW w:w="1658" w:type="dxa"/>
            <w:vAlign w:val="top"/>
          </w:tcPr>
          <w:p>
            <w:pPr>
              <w:spacing w:before="172" w:line="231" w:lineRule="auto"/>
              <w:ind w:left="414"/>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2" w:hRule="atLeast"/>
        </w:trPr>
        <w:tc>
          <w:tcPr>
            <w:tcW w:w="605" w:type="dxa"/>
            <w:vAlign w:val="top"/>
          </w:tcPr>
          <w:p>
            <w:pPr>
              <w:rPr>
                <w:rFonts w:ascii="Arial"/>
                <w:sz w:val="21"/>
              </w:rPr>
            </w:pPr>
          </w:p>
        </w:tc>
        <w:tc>
          <w:tcPr>
            <w:tcW w:w="795" w:type="dxa"/>
            <w:vAlign w:val="top"/>
          </w:tcPr>
          <w:p>
            <w:pPr>
              <w:rPr>
                <w:rFonts w:ascii="Arial"/>
                <w:sz w:val="21"/>
              </w:rPr>
            </w:pPr>
          </w:p>
        </w:tc>
        <w:tc>
          <w:tcPr>
            <w:tcW w:w="4528" w:type="dxa"/>
            <w:vAlign w:val="top"/>
          </w:tcPr>
          <w:p>
            <w:pPr>
              <w:pStyle w:val="6"/>
              <w:spacing w:before="43" w:line="251" w:lineRule="auto"/>
              <w:ind w:left="111" w:right="109"/>
            </w:pPr>
            <w:r>
              <w:rPr>
                <w:rFonts w:ascii="Times New Roman" w:hAnsi="Times New Roman" w:eastAsia="Times New Roman" w:cs="Times New Roman"/>
                <w:spacing w:val="8"/>
              </w:rPr>
              <w:t>3.</w:t>
            </w:r>
            <w:r>
              <w:rPr>
                <w:spacing w:val="8"/>
              </w:rPr>
              <w:t xml:space="preserve">食品安全专业技术人员应当掌握食品添加剂  </w:t>
            </w:r>
            <w:r>
              <w:rPr>
                <w:spacing w:val="4"/>
              </w:rPr>
              <w:t>生产工艺操作规程，能够熟练操作与岗位相关的</w:t>
            </w:r>
            <w:r>
              <w:rPr>
                <w:spacing w:val="17"/>
              </w:rPr>
              <w:t xml:space="preserve"> </w:t>
            </w:r>
            <w:r>
              <w:rPr>
                <w:spacing w:val="4"/>
              </w:rPr>
              <w:t>设备设施。从事配方研发的人员应当掌握复配食</w:t>
            </w:r>
            <w:r>
              <w:rPr>
                <w:spacing w:val="17"/>
              </w:rPr>
              <w:t xml:space="preserve"> </w:t>
            </w:r>
            <w:r>
              <w:rPr>
                <w:spacing w:val="8"/>
              </w:rPr>
              <w:t>品添加剂相关食品安全国家标准规定。</w:t>
            </w:r>
          </w:p>
          <w:p>
            <w:pPr>
              <w:pStyle w:val="6"/>
              <w:spacing w:before="35" w:line="247" w:lineRule="auto"/>
              <w:ind w:left="119" w:right="106" w:hanging="13"/>
            </w:pPr>
            <w:r>
              <w:rPr>
                <w:rFonts w:ascii="Times New Roman" w:hAnsi="Times New Roman" w:eastAsia="Times New Roman" w:cs="Times New Roman"/>
                <w:spacing w:val="9"/>
              </w:rPr>
              <w:t>4.</w:t>
            </w:r>
            <w:r>
              <w:rPr>
                <w:spacing w:val="9"/>
              </w:rPr>
              <w:t>检验人员应当具有食品、化学或相关专业知</w:t>
            </w:r>
            <w:r>
              <w:t xml:space="preserve">  </w:t>
            </w:r>
            <w:r>
              <w:rPr>
                <w:spacing w:val="4"/>
              </w:rPr>
              <w:t>识，经专业培训合格。检验人员数量应当满足企</w:t>
            </w:r>
            <w:r>
              <w:rPr>
                <w:spacing w:val="10"/>
              </w:rPr>
              <w:t xml:space="preserve"> </w:t>
            </w:r>
            <w:r>
              <w:rPr>
                <w:spacing w:val="5"/>
              </w:rPr>
              <w:t>业检验需求。</w:t>
            </w:r>
          </w:p>
          <w:p>
            <w:pPr>
              <w:pStyle w:val="6"/>
              <w:spacing w:before="37" w:line="247" w:lineRule="auto"/>
              <w:ind w:left="113" w:right="106"/>
              <w:jc w:val="both"/>
            </w:pPr>
            <w:r>
              <w:rPr>
                <w:rFonts w:ascii="Times New Roman" w:hAnsi="Times New Roman" w:eastAsia="Times New Roman" w:cs="Times New Roman"/>
                <w:spacing w:val="7"/>
              </w:rPr>
              <w:t>5.</w:t>
            </w:r>
            <w:r>
              <w:rPr>
                <w:spacing w:val="7"/>
              </w:rPr>
              <w:t>操作人员应当掌握本职岗位的作业指导</w:t>
            </w:r>
            <w:r>
              <w:rPr>
                <w:spacing w:val="6"/>
              </w:rPr>
              <w:t>书、操</w:t>
            </w:r>
            <w:r>
              <w:t xml:space="preserve"> </w:t>
            </w:r>
            <w:r>
              <w:rPr>
                <w:spacing w:val="4"/>
              </w:rPr>
              <w:t>作规程或配方等工艺文件的相关要求，能够熟练</w:t>
            </w:r>
            <w:r>
              <w:rPr>
                <w:spacing w:val="14"/>
              </w:rPr>
              <w:t xml:space="preserve"> </w:t>
            </w:r>
            <w:r>
              <w:rPr>
                <w:spacing w:val="7"/>
              </w:rPr>
              <w:t>操作本岗位设备。</w:t>
            </w:r>
          </w:p>
          <w:p>
            <w:pPr>
              <w:pStyle w:val="6"/>
              <w:spacing w:before="35" w:line="248" w:lineRule="auto"/>
              <w:ind w:left="113" w:right="106" w:hanging="1"/>
            </w:pPr>
            <w:r>
              <w:rPr>
                <w:rFonts w:ascii="Times New Roman" w:hAnsi="Times New Roman" w:eastAsia="Times New Roman" w:cs="Times New Roman"/>
                <w:spacing w:val="8"/>
              </w:rPr>
              <w:t>6.</w:t>
            </w:r>
            <w:r>
              <w:rPr>
                <w:spacing w:val="8"/>
              </w:rPr>
              <w:t xml:space="preserve">菌种保存及扩大培养相关操作的岗位人员应  </w:t>
            </w:r>
            <w:r>
              <w:rPr>
                <w:spacing w:val="4"/>
              </w:rPr>
              <w:t>当进行微生物和菌种相关知识培训，并具有相应</w:t>
            </w:r>
            <w:r>
              <w:rPr>
                <w:spacing w:val="17"/>
              </w:rPr>
              <w:t xml:space="preserve"> </w:t>
            </w:r>
            <w:r>
              <w:rPr>
                <w:spacing w:val="2"/>
              </w:rPr>
              <w:t>技能。</w:t>
            </w:r>
          </w:p>
          <w:p>
            <w:pPr>
              <w:pStyle w:val="6"/>
              <w:spacing w:before="37" w:line="248" w:lineRule="auto"/>
              <w:ind w:left="110" w:right="57"/>
            </w:pPr>
            <w:r>
              <w:rPr>
                <w:rFonts w:ascii="Times New Roman" w:hAnsi="Times New Roman" w:eastAsia="Times New Roman" w:cs="Times New Roman"/>
                <w:spacing w:val="7"/>
              </w:rPr>
              <w:t>7.</w:t>
            </w:r>
            <w:r>
              <w:rPr>
                <w:spacing w:val="7"/>
              </w:rPr>
              <w:t>负责清洁消毒的人员应当接受良好培训</w:t>
            </w:r>
            <w:r>
              <w:rPr>
                <w:spacing w:val="6"/>
              </w:rPr>
              <w:t>，能够</w:t>
            </w:r>
            <w:r>
              <w:t xml:space="preserve"> </w:t>
            </w:r>
            <w:r>
              <w:rPr>
                <w:spacing w:val="9"/>
              </w:rPr>
              <w:t>正确使用清洁消毒工器具及相关洗涤剂、消毒</w:t>
            </w:r>
            <w:r>
              <w:rPr>
                <w:spacing w:val="4"/>
              </w:rPr>
              <w:t xml:space="preserve">  </w:t>
            </w:r>
            <w:r>
              <w:rPr>
                <w:spacing w:val="7"/>
              </w:rPr>
              <w:t>剂，保证清洁和消毒作业的效果满足生产要求。</w:t>
            </w:r>
            <w:r>
              <w:rPr>
                <w:spacing w:val="5"/>
              </w:rPr>
              <w:t xml:space="preserve"> </w:t>
            </w:r>
            <w:r>
              <w:rPr>
                <w:rFonts w:ascii="Times New Roman" w:hAnsi="Times New Roman" w:eastAsia="Times New Roman" w:cs="Times New Roman"/>
                <w:spacing w:val="7"/>
              </w:rPr>
              <w:t>8.</w:t>
            </w:r>
            <w:r>
              <w:rPr>
                <w:rFonts w:ascii="Times New Roman" w:hAnsi="Times New Roman" w:eastAsia="Times New Roman" w:cs="Times New Roman"/>
                <w:spacing w:val="-12"/>
              </w:rPr>
              <w:t xml:space="preserve"> </w:t>
            </w:r>
            <w:r>
              <w:rPr>
                <w:spacing w:val="7"/>
              </w:rPr>
              <w:t>涉及危险化学品相关操作的岗位人员应当经</w:t>
            </w:r>
            <w:r>
              <w:t xml:space="preserve">   </w:t>
            </w:r>
            <w:r>
              <w:rPr>
                <w:spacing w:val="8"/>
              </w:rPr>
              <w:t>过危险化学品知识培训。</w:t>
            </w:r>
          </w:p>
        </w:tc>
        <w:tc>
          <w:tcPr>
            <w:tcW w:w="4783" w:type="dxa"/>
            <w:vAlign w:val="top"/>
          </w:tcPr>
          <w:p>
            <w:pPr>
              <w:pStyle w:val="6"/>
              <w:spacing w:before="45" w:line="248" w:lineRule="auto"/>
              <w:ind w:left="116" w:right="106" w:hanging="4"/>
              <w:jc w:val="both"/>
            </w:pPr>
            <w:r>
              <w:rPr>
                <w:rFonts w:ascii="Times New Roman" w:hAnsi="Times New Roman" w:eastAsia="Times New Roman" w:cs="Times New Roman"/>
                <w:spacing w:val="9"/>
              </w:rPr>
              <w:t>3.</w:t>
            </w:r>
            <w:r>
              <w:rPr>
                <w:spacing w:val="9"/>
              </w:rPr>
              <w:t>未配备具有相应专业能力的食品安全专业技术人</w:t>
            </w:r>
            <w:r>
              <w:t xml:space="preserve"> </w:t>
            </w:r>
            <w:r>
              <w:rPr>
                <w:spacing w:val="7"/>
              </w:rPr>
              <w:t>员。从事配方研发的人员不能正确理解和执行食品</w:t>
            </w:r>
            <w:r>
              <w:t xml:space="preserve"> </w:t>
            </w:r>
            <w:r>
              <w:rPr>
                <w:spacing w:val="6"/>
              </w:rPr>
              <w:t>安全国家标准。</w:t>
            </w:r>
          </w:p>
          <w:p>
            <w:pPr>
              <w:pStyle w:val="6"/>
              <w:spacing w:before="34" w:line="244" w:lineRule="auto"/>
              <w:ind w:left="120" w:right="104" w:hanging="13"/>
            </w:pPr>
            <w:r>
              <w:rPr>
                <w:rFonts w:ascii="Times New Roman" w:hAnsi="Times New Roman" w:eastAsia="Times New Roman" w:cs="Times New Roman"/>
                <w:spacing w:val="9"/>
              </w:rPr>
              <w:t>4.</w:t>
            </w:r>
            <w:r>
              <w:rPr>
                <w:spacing w:val="9"/>
              </w:rPr>
              <w:t>相关人员数量配备不足，人员资质不符合规定要</w:t>
            </w:r>
            <w:r>
              <w:rPr>
                <w:spacing w:val="8"/>
              </w:rPr>
              <w:t xml:space="preserve"> </w:t>
            </w:r>
            <w:r>
              <w:rPr>
                <w:spacing w:val="-5"/>
              </w:rPr>
              <w:t>求。</w:t>
            </w:r>
          </w:p>
        </w:tc>
        <w:tc>
          <w:tcPr>
            <w:tcW w:w="525" w:type="dxa"/>
            <w:vAlign w:val="top"/>
          </w:tcPr>
          <w:p>
            <w:pPr>
              <w:rPr>
                <w:rFonts w:ascii="Arial"/>
                <w:sz w:val="21"/>
              </w:rPr>
            </w:pP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restart"/>
            <w:tcBorders>
              <w:bottom w:val="nil"/>
            </w:tcBorders>
            <w:vAlign w:val="top"/>
          </w:tcPr>
          <w:p>
            <w:pPr>
              <w:spacing w:line="419" w:lineRule="auto"/>
              <w:rPr>
                <w:rFonts w:ascii="Arial"/>
                <w:sz w:val="21"/>
              </w:rPr>
            </w:pPr>
          </w:p>
          <w:p>
            <w:pPr>
              <w:spacing w:before="57" w:line="195"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4.2</w:t>
            </w:r>
          </w:p>
        </w:tc>
        <w:tc>
          <w:tcPr>
            <w:tcW w:w="795" w:type="dxa"/>
            <w:vMerge w:val="restart"/>
            <w:tcBorders>
              <w:bottom w:val="nil"/>
            </w:tcBorders>
            <w:vAlign w:val="top"/>
          </w:tcPr>
          <w:p>
            <w:pPr>
              <w:spacing w:line="241" w:lineRule="auto"/>
              <w:rPr>
                <w:rFonts w:ascii="Arial"/>
                <w:sz w:val="21"/>
              </w:rPr>
            </w:pPr>
          </w:p>
          <w:p>
            <w:pPr>
              <w:pStyle w:val="6"/>
              <w:spacing w:before="65" w:line="238" w:lineRule="auto"/>
              <w:ind w:left="190" w:right="191"/>
            </w:pPr>
            <w:r>
              <w:rPr>
                <w:spacing w:val="3"/>
              </w:rPr>
              <w:t>人员</w:t>
            </w:r>
            <w:r>
              <w:t xml:space="preserve"> </w:t>
            </w:r>
            <w:r>
              <w:rPr>
                <w:spacing w:val="3"/>
              </w:rPr>
              <w:t>培训</w:t>
            </w:r>
          </w:p>
        </w:tc>
        <w:tc>
          <w:tcPr>
            <w:tcW w:w="4528" w:type="dxa"/>
            <w:vMerge w:val="restart"/>
            <w:tcBorders>
              <w:bottom w:val="nil"/>
            </w:tcBorders>
            <w:vAlign w:val="top"/>
          </w:tcPr>
          <w:p>
            <w:pPr>
              <w:pStyle w:val="6"/>
              <w:spacing w:before="34" w:line="242" w:lineRule="auto"/>
              <w:ind w:left="116" w:right="106"/>
              <w:jc w:val="both"/>
            </w:pPr>
            <w:r>
              <w:rPr>
                <w:spacing w:val="4"/>
              </w:rPr>
              <w:t>应当制定和实施职工培训计划，根据岗位需求开</w:t>
            </w:r>
            <w:r>
              <w:rPr>
                <w:spacing w:val="14"/>
              </w:rPr>
              <w:t xml:space="preserve"> </w:t>
            </w:r>
            <w:r>
              <w:rPr>
                <w:spacing w:val="4"/>
              </w:rPr>
              <w:t>展食品安全知识及卫生培训，做好培训记录。食</w:t>
            </w:r>
            <w:r>
              <w:rPr>
                <w:spacing w:val="14"/>
              </w:rPr>
              <w:t xml:space="preserve"> </w:t>
            </w:r>
            <w:r>
              <w:rPr>
                <w:spacing w:val="4"/>
              </w:rPr>
              <w:t>品安全管理人员上岗前应当经过培训，并考核合</w:t>
            </w:r>
            <w:r>
              <w:rPr>
                <w:spacing w:val="12"/>
              </w:rPr>
              <w:t xml:space="preserve"> </w:t>
            </w:r>
            <w:r>
              <w:rPr>
                <w:spacing w:val="-3"/>
              </w:rPr>
              <w:t>格。</w:t>
            </w:r>
          </w:p>
        </w:tc>
        <w:tc>
          <w:tcPr>
            <w:tcW w:w="4783" w:type="dxa"/>
            <w:vAlign w:val="top"/>
          </w:tcPr>
          <w:p>
            <w:pPr>
              <w:pStyle w:val="6"/>
              <w:spacing w:before="66" w:line="229" w:lineRule="auto"/>
              <w:ind w:left="122"/>
            </w:pPr>
            <w:r>
              <w:rPr>
                <w:spacing w:val="5"/>
              </w:rPr>
              <w:t>符合规定要求。</w:t>
            </w:r>
          </w:p>
        </w:tc>
        <w:tc>
          <w:tcPr>
            <w:tcW w:w="525" w:type="dxa"/>
            <w:vAlign w:val="top"/>
          </w:tcPr>
          <w:p>
            <w:pPr>
              <w:spacing w:before="104"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continue"/>
            <w:tcBorders>
              <w:top w:val="nil"/>
              <w:bottom w:val="nil"/>
            </w:tcBorders>
            <w:vAlign w:val="top"/>
          </w:tcPr>
          <w:p>
            <w:pPr>
              <w:rPr>
                <w:rFonts w:ascii="Arial"/>
                <w:sz w:val="21"/>
              </w:rPr>
            </w:pPr>
          </w:p>
        </w:tc>
        <w:tc>
          <w:tcPr>
            <w:tcW w:w="795"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83" w:type="dxa"/>
            <w:vAlign w:val="top"/>
          </w:tcPr>
          <w:p>
            <w:pPr>
              <w:pStyle w:val="6"/>
              <w:spacing w:before="66" w:line="231" w:lineRule="auto"/>
              <w:ind w:left="118"/>
            </w:pPr>
            <w:r>
              <w:rPr>
                <w:spacing w:val="8"/>
              </w:rPr>
              <w:t>培训计划及计划实施、培训记录略有不足。</w:t>
            </w:r>
          </w:p>
        </w:tc>
        <w:tc>
          <w:tcPr>
            <w:tcW w:w="525" w:type="dxa"/>
            <w:vAlign w:val="top"/>
          </w:tcPr>
          <w:p>
            <w:pPr>
              <w:spacing w:before="105"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05" w:type="dxa"/>
            <w:vMerge w:val="continue"/>
            <w:tcBorders>
              <w:top w:val="nil"/>
            </w:tcBorders>
            <w:vAlign w:val="top"/>
          </w:tcPr>
          <w:p>
            <w:pPr>
              <w:rPr>
                <w:rFonts w:ascii="Arial"/>
                <w:sz w:val="21"/>
              </w:rPr>
            </w:pPr>
          </w:p>
        </w:tc>
        <w:tc>
          <w:tcPr>
            <w:tcW w:w="795"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83" w:type="dxa"/>
            <w:vAlign w:val="top"/>
          </w:tcPr>
          <w:p>
            <w:pPr>
              <w:pStyle w:val="6"/>
              <w:spacing w:before="91" w:line="231" w:lineRule="auto"/>
              <w:ind w:right="12"/>
              <w:jc w:val="right"/>
            </w:pPr>
            <w:r>
              <w:rPr>
                <w:spacing w:val="2"/>
              </w:rPr>
              <w:t>无培训计划，或计划实施严重不足，或无培训记</w:t>
            </w:r>
            <w:r>
              <w:rPr>
                <w:spacing w:val="1"/>
              </w:rPr>
              <w:t>录。</w:t>
            </w:r>
          </w:p>
        </w:tc>
        <w:tc>
          <w:tcPr>
            <w:tcW w:w="525" w:type="dxa"/>
            <w:vAlign w:val="top"/>
          </w:tcPr>
          <w:p>
            <w:pPr>
              <w:spacing w:before="127"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restart"/>
            <w:tcBorders>
              <w:bottom w:val="nil"/>
            </w:tcBorders>
            <w:vAlign w:val="top"/>
          </w:tcPr>
          <w:p>
            <w:pPr>
              <w:spacing w:line="420" w:lineRule="auto"/>
              <w:rPr>
                <w:rFonts w:ascii="Arial"/>
                <w:sz w:val="21"/>
              </w:rPr>
            </w:pPr>
          </w:p>
          <w:p>
            <w:pPr>
              <w:spacing w:before="57" w:line="195"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4.3</w:t>
            </w:r>
          </w:p>
        </w:tc>
        <w:tc>
          <w:tcPr>
            <w:tcW w:w="795" w:type="dxa"/>
            <w:vMerge w:val="restart"/>
            <w:tcBorders>
              <w:bottom w:val="nil"/>
            </w:tcBorders>
            <w:vAlign w:val="top"/>
          </w:tcPr>
          <w:p>
            <w:pPr>
              <w:pStyle w:val="6"/>
              <w:spacing w:before="39" w:line="242" w:lineRule="auto"/>
              <w:ind w:left="185" w:right="191" w:firstLine="5"/>
              <w:jc w:val="both"/>
            </w:pPr>
            <w:r>
              <w:rPr>
                <w:spacing w:val="3"/>
              </w:rPr>
              <w:t>人员</w:t>
            </w:r>
            <w:r>
              <w:t xml:space="preserve"> </w:t>
            </w:r>
            <w:r>
              <w:rPr>
                <w:spacing w:val="6"/>
              </w:rPr>
              <w:t>健康</w:t>
            </w:r>
            <w:r>
              <w:t xml:space="preserve"> </w:t>
            </w:r>
            <w:r>
              <w:rPr>
                <w:spacing w:val="6"/>
              </w:rPr>
              <w:t>管理</w:t>
            </w:r>
            <w:r>
              <w:t xml:space="preserve"> </w:t>
            </w:r>
            <w:r>
              <w:rPr>
                <w:spacing w:val="6"/>
              </w:rPr>
              <w:t>制度</w:t>
            </w:r>
          </w:p>
        </w:tc>
        <w:tc>
          <w:tcPr>
            <w:tcW w:w="4528" w:type="dxa"/>
            <w:vMerge w:val="restart"/>
            <w:tcBorders>
              <w:bottom w:val="nil"/>
            </w:tcBorders>
            <w:vAlign w:val="top"/>
          </w:tcPr>
          <w:p>
            <w:pPr>
              <w:spacing w:line="376" w:lineRule="auto"/>
              <w:rPr>
                <w:rFonts w:ascii="Arial"/>
                <w:sz w:val="21"/>
              </w:rPr>
            </w:pPr>
          </w:p>
          <w:p>
            <w:pPr>
              <w:pStyle w:val="6"/>
              <w:spacing w:before="65" w:line="229" w:lineRule="auto"/>
              <w:ind w:left="116"/>
            </w:pPr>
            <w:r>
              <w:rPr>
                <w:spacing w:val="8"/>
              </w:rPr>
              <w:t>应当建立并执行从业人员健康管理制度。</w:t>
            </w:r>
          </w:p>
        </w:tc>
        <w:tc>
          <w:tcPr>
            <w:tcW w:w="4783" w:type="dxa"/>
            <w:vAlign w:val="top"/>
          </w:tcPr>
          <w:p>
            <w:pPr>
              <w:pStyle w:val="6"/>
              <w:spacing w:before="70" w:line="229" w:lineRule="auto"/>
              <w:ind w:left="122"/>
            </w:pPr>
            <w:r>
              <w:rPr>
                <w:spacing w:val="5"/>
              </w:rPr>
              <w:t>符合规定要求。</w:t>
            </w:r>
          </w:p>
        </w:tc>
        <w:tc>
          <w:tcPr>
            <w:tcW w:w="525" w:type="dxa"/>
            <w:vAlign w:val="top"/>
          </w:tcPr>
          <w:p>
            <w:pPr>
              <w:spacing w:before="105"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continue"/>
            <w:tcBorders>
              <w:top w:val="nil"/>
              <w:bottom w:val="nil"/>
            </w:tcBorders>
            <w:vAlign w:val="top"/>
          </w:tcPr>
          <w:p>
            <w:pPr>
              <w:rPr>
                <w:rFonts w:ascii="Arial"/>
                <w:sz w:val="21"/>
              </w:rPr>
            </w:pPr>
          </w:p>
        </w:tc>
        <w:tc>
          <w:tcPr>
            <w:tcW w:w="795" w:type="dxa"/>
            <w:vMerge w:val="continue"/>
            <w:tcBorders>
              <w:top w:val="nil"/>
              <w:bottom w:val="nil"/>
            </w:tcBorders>
            <w:vAlign w:val="top"/>
          </w:tcPr>
          <w:p>
            <w:pPr>
              <w:rPr>
                <w:rFonts w:ascii="Arial"/>
                <w:sz w:val="21"/>
              </w:rPr>
            </w:pPr>
          </w:p>
        </w:tc>
        <w:tc>
          <w:tcPr>
            <w:tcW w:w="4528" w:type="dxa"/>
            <w:vMerge w:val="continue"/>
            <w:tcBorders>
              <w:top w:val="nil"/>
              <w:bottom w:val="nil"/>
            </w:tcBorders>
            <w:vAlign w:val="top"/>
          </w:tcPr>
          <w:p>
            <w:pPr>
              <w:rPr>
                <w:rFonts w:ascii="Arial"/>
                <w:sz w:val="21"/>
              </w:rPr>
            </w:pPr>
          </w:p>
        </w:tc>
        <w:tc>
          <w:tcPr>
            <w:tcW w:w="4783" w:type="dxa"/>
            <w:vAlign w:val="top"/>
          </w:tcPr>
          <w:p>
            <w:pPr>
              <w:pStyle w:val="6"/>
              <w:spacing w:before="70" w:line="229" w:lineRule="auto"/>
              <w:ind w:left="118"/>
            </w:pPr>
            <w:r>
              <w:rPr>
                <w:spacing w:val="7"/>
              </w:rPr>
              <w:t>制度内容或执行略有缺陷。</w:t>
            </w:r>
          </w:p>
        </w:tc>
        <w:tc>
          <w:tcPr>
            <w:tcW w:w="525" w:type="dxa"/>
            <w:vAlign w:val="top"/>
          </w:tcPr>
          <w:p>
            <w:pPr>
              <w:spacing w:before="106"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05" w:type="dxa"/>
            <w:vMerge w:val="continue"/>
            <w:tcBorders>
              <w:top w:val="nil"/>
            </w:tcBorders>
            <w:vAlign w:val="top"/>
          </w:tcPr>
          <w:p>
            <w:pPr>
              <w:rPr>
                <w:rFonts w:ascii="Arial"/>
                <w:sz w:val="21"/>
              </w:rPr>
            </w:pPr>
          </w:p>
        </w:tc>
        <w:tc>
          <w:tcPr>
            <w:tcW w:w="795" w:type="dxa"/>
            <w:vMerge w:val="continue"/>
            <w:tcBorders>
              <w:top w:val="nil"/>
            </w:tcBorders>
            <w:vAlign w:val="top"/>
          </w:tcPr>
          <w:p>
            <w:pPr>
              <w:rPr>
                <w:rFonts w:ascii="Arial"/>
                <w:sz w:val="21"/>
              </w:rPr>
            </w:pPr>
          </w:p>
        </w:tc>
        <w:tc>
          <w:tcPr>
            <w:tcW w:w="4528" w:type="dxa"/>
            <w:vMerge w:val="continue"/>
            <w:tcBorders>
              <w:top w:val="nil"/>
            </w:tcBorders>
            <w:vAlign w:val="top"/>
          </w:tcPr>
          <w:p>
            <w:pPr>
              <w:rPr>
                <w:rFonts w:ascii="Arial"/>
                <w:sz w:val="21"/>
              </w:rPr>
            </w:pPr>
          </w:p>
        </w:tc>
        <w:tc>
          <w:tcPr>
            <w:tcW w:w="4783" w:type="dxa"/>
            <w:vAlign w:val="top"/>
          </w:tcPr>
          <w:p>
            <w:pPr>
              <w:pStyle w:val="6"/>
              <w:spacing w:before="95" w:line="229" w:lineRule="auto"/>
              <w:ind w:left="120"/>
            </w:pPr>
            <w:r>
              <w:rPr>
                <w:spacing w:val="8"/>
              </w:rPr>
              <w:t>无制度或者制度执行严重不足。</w:t>
            </w:r>
          </w:p>
        </w:tc>
        <w:tc>
          <w:tcPr>
            <w:tcW w:w="525" w:type="dxa"/>
            <w:vAlign w:val="top"/>
          </w:tcPr>
          <w:p>
            <w:pPr>
              <w:spacing w:before="130"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58" w:type="dxa"/>
            <w:vAlign w:val="top"/>
          </w:tcPr>
          <w:p>
            <w:pPr>
              <w:rPr>
                <w:rFonts w:ascii="Arial"/>
                <w:sz w:val="21"/>
              </w:rPr>
            </w:pPr>
          </w:p>
        </w:tc>
      </w:tr>
    </w:tbl>
    <w:p>
      <w:pPr>
        <w:spacing w:before="287" w:line="227" w:lineRule="auto"/>
        <w:ind w:left="5323"/>
        <w:outlineLvl w:val="0"/>
        <w:rPr>
          <w:rFonts w:ascii="黑体" w:hAnsi="黑体" w:eastAsia="黑体" w:cs="黑体"/>
          <w:sz w:val="31"/>
          <w:szCs w:val="31"/>
        </w:rPr>
      </w:pPr>
      <w:r>
        <w:rPr>
          <w:rFonts w:ascii="黑体" w:hAnsi="黑体" w:eastAsia="黑体" w:cs="黑体"/>
          <w:spacing w:val="3"/>
          <w:sz w:val="31"/>
          <w:szCs w:val="31"/>
        </w:rPr>
        <w:t>五、管理制度（共</w:t>
      </w:r>
      <w:r>
        <w:rPr>
          <w:rFonts w:ascii="黑体" w:hAnsi="黑体" w:eastAsia="黑体" w:cs="黑体"/>
          <w:spacing w:val="-57"/>
          <w:sz w:val="31"/>
          <w:szCs w:val="31"/>
        </w:rPr>
        <w:t xml:space="preserve"> </w:t>
      </w:r>
      <w:r>
        <w:rPr>
          <w:rFonts w:ascii="Times New Roman" w:hAnsi="Times New Roman" w:eastAsia="Times New Roman" w:cs="Times New Roman"/>
          <w:spacing w:val="3"/>
          <w:sz w:val="31"/>
          <w:szCs w:val="31"/>
        </w:rPr>
        <w:t>60</w:t>
      </w:r>
      <w:r>
        <w:rPr>
          <w:rFonts w:ascii="Times New Roman" w:hAnsi="Times New Roman" w:eastAsia="Times New Roman" w:cs="Times New Roman"/>
          <w:spacing w:val="23"/>
          <w:w w:val="101"/>
          <w:sz w:val="31"/>
          <w:szCs w:val="31"/>
        </w:rPr>
        <w:t xml:space="preserve"> </w:t>
      </w:r>
      <w:r>
        <w:rPr>
          <w:rFonts w:ascii="黑体" w:hAnsi="黑体" w:eastAsia="黑体" w:cs="黑体"/>
          <w:spacing w:val="3"/>
          <w:sz w:val="31"/>
          <w:szCs w:val="31"/>
        </w:rPr>
        <w:t>分）</w:t>
      </w:r>
    </w:p>
    <w:p>
      <w:pPr>
        <w:spacing w:line="227" w:lineRule="auto"/>
        <w:rPr>
          <w:rFonts w:ascii="黑体" w:hAnsi="黑体" w:eastAsia="黑体" w:cs="黑体"/>
          <w:sz w:val="31"/>
          <w:szCs w:val="31"/>
        </w:rPr>
        <w:sectPr>
          <w:footerReference r:id="rId61" w:type="default"/>
          <w:pgSz w:w="15840" w:h="12240"/>
          <w:pgMar w:top="1040" w:right="388" w:bottom="895" w:left="1098" w:header="0" w:footer="723" w:gutter="0"/>
          <w:cols w:space="720" w:num="1"/>
        </w:sectPr>
      </w:pPr>
    </w:p>
    <w:p>
      <w:pPr>
        <w:spacing w:before="12"/>
      </w:pPr>
    </w:p>
    <w:p>
      <w:pPr>
        <w:spacing w:before="12"/>
      </w:pPr>
    </w:p>
    <w:p>
      <w:pPr>
        <w:spacing w:before="11"/>
      </w:pPr>
    </w:p>
    <w:tbl>
      <w:tblPr>
        <w:tblStyle w:val="5"/>
        <w:tblW w:w="14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780"/>
        <w:gridCol w:w="4543"/>
        <w:gridCol w:w="4783"/>
        <w:gridCol w:w="510"/>
        <w:gridCol w:w="1469"/>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5" w:type="dxa"/>
            <w:vAlign w:val="top"/>
          </w:tcPr>
          <w:p>
            <w:pPr>
              <w:spacing w:before="188" w:line="231" w:lineRule="auto"/>
              <w:ind w:left="128"/>
              <w:rPr>
                <w:rFonts w:ascii="黑体" w:hAnsi="黑体" w:eastAsia="黑体" w:cs="黑体"/>
                <w:sz w:val="20"/>
                <w:szCs w:val="20"/>
              </w:rPr>
            </w:pPr>
            <w:r>
              <w:rPr>
                <w:rFonts w:ascii="黑体" w:hAnsi="黑体" w:eastAsia="黑体" w:cs="黑体"/>
                <w:spacing w:val="4"/>
                <w:sz w:val="20"/>
                <w:szCs w:val="20"/>
              </w:rPr>
              <w:t>序号</w:t>
            </w:r>
          </w:p>
        </w:tc>
        <w:tc>
          <w:tcPr>
            <w:tcW w:w="780" w:type="dxa"/>
            <w:vAlign w:val="top"/>
          </w:tcPr>
          <w:p>
            <w:pPr>
              <w:spacing w:before="49" w:line="235" w:lineRule="auto"/>
              <w:ind w:left="183" w:right="18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43" w:type="dxa"/>
            <w:vAlign w:val="top"/>
          </w:tcPr>
          <w:p>
            <w:pPr>
              <w:spacing w:before="188" w:line="231" w:lineRule="auto"/>
              <w:ind w:left="1852"/>
              <w:rPr>
                <w:rFonts w:ascii="黑体" w:hAnsi="黑体" w:eastAsia="黑体" w:cs="黑体"/>
                <w:sz w:val="20"/>
                <w:szCs w:val="20"/>
              </w:rPr>
            </w:pPr>
            <w:r>
              <w:rPr>
                <w:rFonts w:ascii="黑体" w:hAnsi="黑体" w:eastAsia="黑体" w:cs="黑体"/>
                <w:spacing w:val="7"/>
                <w:sz w:val="20"/>
                <w:szCs w:val="20"/>
              </w:rPr>
              <w:t>核查内容</w:t>
            </w:r>
          </w:p>
        </w:tc>
        <w:tc>
          <w:tcPr>
            <w:tcW w:w="5293" w:type="dxa"/>
            <w:gridSpan w:val="2"/>
            <w:vAlign w:val="top"/>
          </w:tcPr>
          <w:p>
            <w:pPr>
              <w:spacing w:before="188" w:line="230" w:lineRule="auto"/>
              <w:ind w:left="2230"/>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88" w:line="230" w:lineRule="auto"/>
              <w:ind w:left="320"/>
              <w:rPr>
                <w:rFonts w:ascii="黑体" w:hAnsi="黑体" w:eastAsia="黑体" w:cs="黑体"/>
                <w:sz w:val="20"/>
                <w:szCs w:val="20"/>
              </w:rPr>
            </w:pPr>
            <w:r>
              <w:rPr>
                <w:rFonts w:ascii="黑体" w:hAnsi="黑体" w:eastAsia="黑体" w:cs="黑体"/>
                <w:spacing w:val="7"/>
                <w:sz w:val="20"/>
                <w:szCs w:val="20"/>
              </w:rPr>
              <w:t>核查记录</w:t>
            </w:r>
          </w:p>
        </w:tc>
        <w:tc>
          <w:tcPr>
            <w:tcW w:w="1639" w:type="dxa"/>
            <w:vAlign w:val="top"/>
          </w:tcPr>
          <w:p>
            <w:pPr>
              <w:spacing w:before="188" w:line="231" w:lineRule="auto"/>
              <w:ind w:left="402"/>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6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78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65" w:line="225" w:lineRule="auto"/>
              <w:ind w:left="183"/>
            </w:pPr>
            <w:r>
              <w:rPr>
                <w:spacing w:val="4"/>
              </w:rPr>
              <w:t>采购</w:t>
            </w:r>
          </w:p>
          <w:p>
            <w:pPr>
              <w:pStyle w:val="6"/>
              <w:spacing w:before="36" w:line="227" w:lineRule="auto"/>
              <w:ind w:left="184"/>
            </w:pPr>
            <w:r>
              <w:rPr>
                <w:spacing w:val="4"/>
              </w:rPr>
              <w:t>管理</w:t>
            </w:r>
          </w:p>
          <w:p>
            <w:pPr>
              <w:pStyle w:val="6"/>
              <w:spacing w:before="32" w:line="228" w:lineRule="auto"/>
              <w:ind w:left="181"/>
            </w:pPr>
            <w:r>
              <w:rPr>
                <w:spacing w:val="6"/>
              </w:rPr>
              <w:t>及进</w:t>
            </w:r>
          </w:p>
          <w:p>
            <w:pPr>
              <w:pStyle w:val="6"/>
              <w:spacing w:before="33" w:line="227" w:lineRule="auto"/>
              <w:ind w:left="194"/>
            </w:pPr>
            <w:r>
              <w:rPr>
                <w:spacing w:val="-1"/>
              </w:rPr>
              <w:t>货查</w:t>
            </w:r>
          </w:p>
          <w:p>
            <w:pPr>
              <w:pStyle w:val="6"/>
              <w:spacing w:before="35" w:line="231" w:lineRule="auto"/>
              <w:ind w:left="184"/>
            </w:pPr>
            <w:r>
              <w:rPr>
                <w:spacing w:val="4"/>
              </w:rPr>
              <w:t>验记</w:t>
            </w:r>
          </w:p>
          <w:p>
            <w:pPr>
              <w:pStyle w:val="6"/>
              <w:spacing w:before="28" w:line="226" w:lineRule="auto"/>
              <w:ind w:left="296"/>
            </w:pPr>
            <w:r>
              <w:t>录</w:t>
            </w:r>
          </w:p>
        </w:tc>
        <w:tc>
          <w:tcPr>
            <w:tcW w:w="4543" w:type="dxa"/>
            <w:vMerge w:val="restart"/>
            <w:tcBorders>
              <w:bottom w:val="nil"/>
            </w:tcBorders>
            <w:vAlign w:val="top"/>
          </w:tcPr>
          <w:p>
            <w:pPr>
              <w:pStyle w:val="6"/>
              <w:spacing w:before="47" w:line="252" w:lineRule="auto"/>
              <w:ind w:left="119" w:right="104" w:firstLine="8"/>
              <w:jc w:val="both"/>
            </w:pPr>
            <w:r>
              <w:rPr>
                <w:rFonts w:ascii="Times New Roman" w:hAnsi="Times New Roman" w:eastAsia="Times New Roman" w:cs="Times New Roman"/>
                <w:spacing w:val="7"/>
              </w:rPr>
              <w:t>1.</w:t>
            </w:r>
            <w:r>
              <w:rPr>
                <w:spacing w:val="7"/>
              </w:rPr>
              <w:t>应当建立并执行采购管理制度，规定原料、相</w:t>
            </w:r>
            <w:r>
              <w:t xml:space="preserve"> </w:t>
            </w:r>
            <w:r>
              <w:rPr>
                <w:spacing w:val="5"/>
              </w:rPr>
              <w:t xml:space="preserve">关产品验收标准。采购时，应当查验供货者的许 可证和产品合格证明；对无法提供合格证明的食 品原料，应当按照食品安全标准及产品执行标准 </w:t>
            </w:r>
            <w:r>
              <w:rPr>
                <w:spacing w:val="4"/>
              </w:rPr>
              <w:t>进行检验。</w:t>
            </w:r>
          </w:p>
          <w:p>
            <w:pPr>
              <w:pStyle w:val="6"/>
              <w:spacing w:before="33" w:line="246" w:lineRule="auto"/>
              <w:ind w:left="117" w:right="39"/>
              <w:jc w:val="both"/>
            </w:pPr>
            <w:r>
              <w:rPr>
                <w:spacing w:val="5"/>
              </w:rPr>
              <w:t>应当建立并执行进货查验记录制度，记录采购的</w:t>
            </w:r>
            <w:r>
              <w:rPr>
                <w:spacing w:val="7"/>
              </w:rPr>
              <w:t xml:space="preserve"> </w:t>
            </w:r>
            <w:r>
              <w:rPr>
                <w:spacing w:val="5"/>
              </w:rPr>
              <w:t>原料、相关产品名称、规格、数量、生产日期或</w:t>
            </w:r>
            <w:r>
              <w:rPr>
                <w:spacing w:val="9"/>
              </w:rPr>
              <w:t xml:space="preserve"> </w:t>
            </w:r>
            <w:r>
              <w:rPr>
                <w:spacing w:val="-1"/>
              </w:rPr>
              <w:t>者生产批号、保质期、进货日期以及供货者名称、</w:t>
            </w:r>
            <w:r>
              <w:rPr>
                <w:spacing w:val="1"/>
              </w:rPr>
              <w:t xml:space="preserve"> </w:t>
            </w:r>
            <w:r>
              <w:rPr>
                <w:spacing w:val="7"/>
              </w:rPr>
              <w:t>地址、联系方式等信息，保存相关记录和凭证。</w:t>
            </w:r>
          </w:p>
        </w:tc>
        <w:tc>
          <w:tcPr>
            <w:tcW w:w="4783" w:type="dxa"/>
            <w:vAlign w:val="top"/>
          </w:tcPr>
          <w:p>
            <w:pPr>
              <w:pStyle w:val="6"/>
              <w:spacing w:before="75" w:line="229" w:lineRule="auto"/>
              <w:ind w:left="122"/>
            </w:pPr>
            <w:r>
              <w:rPr>
                <w:spacing w:val="5"/>
              </w:rPr>
              <w:t>符合规定要求。</w:t>
            </w:r>
          </w:p>
        </w:tc>
        <w:tc>
          <w:tcPr>
            <w:tcW w:w="510" w:type="dxa"/>
            <w:vAlign w:val="top"/>
          </w:tcPr>
          <w:p>
            <w:pPr>
              <w:spacing w:before="111"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105" w:line="229" w:lineRule="auto"/>
              <w:ind w:left="118"/>
            </w:pPr>
            <w:r>
              <w:rPr>
                <w:spacing w:val="7"/>
              </w:rPr>
              <w:t>制度内容或执行略有不足。</w:t>
            </w:r>
          </w:p>
        </w:tc>
        <w:tc>
          <w:tcPr>
            <w:tcW w:w="510" w:type="dxa"/>
            <w:vAlign w:val="top"/>
          </w:tcPr>
          <w:p>
            <w:pPr>
              <w:spacing w:before="141"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spacing w:line="359" w:lineRule="auto"/>
              <w:rPr>
                <w:rFonts w:ascii="Arial"/>
                <w:sz w:val="21"/>
              </w:rPr>
            </w:pPr>
          </w:p>
          <w:p>
            <w:pPr>
              <w:spacing w:line="360" w:lineRule="auto"/>
              <w:rPr>
                <w:rFonts w:ascii="Arial"/>
                <w:sz w:val="21"/>
              </w:rPr>
            </w:pPr>
          </w:p>
          <w:p>
            <w:pPr>
              <w:pStyle w:val="6"/>
              <w:spacing w:before="65" w:line="229" w:lineRule="auto"/>
              <w:ind w:left="118"/>
            </w:pPr>
            <w:r>
              <w:rPr>
                <w:spacing w:val="7"/>
              </w:rPr>
              <w:t>制度内容或执行严重不足。</w:t>
            </w:r>
          </w:p>
        </w:tc>
        <w:tc>
          <w:tcPr>
            <w:tcW w:w="51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5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148" w:line="249" w:lineRule="auto"/>
              <w:ind w:left="120" w:right="72" w:hanging="12"/>
              <w:jc w:val="both"/>
            </w:pPr>
            <w:r>
              <w:rPr>
                <w:rFonts w:ascii="Times New Roman" w:hAnsi="Times New Roman" w:eastAsia="Times New Roman" w:cs="Times New Roman"/>
                <w:spacing w:val="8"/>
              </w:rPr>
              <w:t>2.</w:t>
            </w:r>
            <w:r>
              <w:rPr>
                <w:spacing w:val="8"/>
              </w:rPr>
              <w:t>应当建立并执行供应商审核制度，对原料</w:t>
            </w:r>
            <w:r>
              <w:rPr>
                <w:spacing w:val="7"/>
              </w:rPr>
              <w:t>、相</w:t>
            </w:r>
            <w:r>
              <w:t xml:space="preserve"> </w:t>
            </w:r>
            <w:r>
              <w:rPr>
                <w:spacing w:val="6"/>
              </w:rPr>
              <w:t>关产品供应商的确定、变更进行质量安全评估，</w:t>
            </w:r>
            <w:r>
              <w:rPr>
                <w:spacing w:val="17"/>
              </w:rPr>
              <w:t xml:space="preserve"> </w:t>
            </w:r>
            <w:r>
              <w:rPr>
                <w:spacing w:val="7"/>
              </w:rPr>
              <w:t>必要时进行现场质量安全审核。</w:t>
            </w:r>
          </w:p>
        </w:tc>
        <w:tc>
          <w:tcPr>
            <w:tcW w:w="4783" w:type="dxa"/>
            <w:vAlign w:val="top"/>
          </w:tcPr>
          <w:p>
            <w:pPr>
              <w:pStyle w:val="6"/>
              <w:spacing w:before="78"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8" w:line="229" w:lineRule="auto"/>
              <w:ind w:left="118"/>
            </w:pPr>
            <w:r>
              <w:rPr>
                <w:spacing w:val="7"/>
              </w:rPr>
              <w:t>制度内容或执行略有不足。</w:t>
            </w:r>
          </w:p>
        </w:tc>
        <w:tc>
          <w:tcPr>
            <w:tcW w:w="510" w:type="dxa"/>
            <w:vAlign w:val="top"/>
          </w:tcPr>
          <w:p>
            <w:pPr>
              <w:spacing w:before="114"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79" w:line="229" w:lineRule="auto"/>
              <w:ind w:left="118"/>
            </w:pPr>
            <w:r>
              <w:rPr>
                <w:spacing w:val="7"/>
              </w:rPr>
              <w:t>制度内容或执行严重不足。</w:t>
            </w:r>
          </w:p>
        </w:tc>
        <w:tc>
          <w:tcPr>
            <w:tcW w:w="510" w:type="dxa"/>
            <w:vAlign w:val="top"/>
          </w:tcPr>
          <w:p>
            <w:pPr>
              <w:spacing w:before="114"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148" w:line="249" w:lineRule="auto"/>
              <w:ind w:left="117" w:right="106" w:hanging="5"/>
              <w:jc w:val="both"/>
            </w:pPr>
            <w:r>
              <w:rPr>
                <w:rFonts w:ascii="Times New Roman" w:hAnsi="Times New Roman" w:eastAsia="Times New Roman" w:cs="Times New Roman"/>
                <w:spacing w:val="16"/>
              </w:rPr>
              <w:t>3.</w:t>
            </w:r>
            <w:r>
              <w:rPr>
                <w:rFonts w:ascii="Times New Roman" w:hAnsi="Times New Roman" w:eastAsia="Times New Roman" w:cs="Times New Roman"/>
                <w:spacing w:val="-19"/>
              </w:rPr>
              <w:t xml:space="preserve"> </w:t>
            </w:r>
            <w:r>
              <w:rPr>
                <w:spacing w:val="16"/>
              </w:rPr>
              <w:t>应当建立并执行原料、相关产品贮存管理制</w:t>
            </w:r>
            <w:r>
              <w:t xml:space="preserve"> </w:t>
            </w:r>
            <w:r>
              <w:rPr>
                <w:spacing w:val="5"/>
              </w:rPr>
              <w:t>度，明确物料贮存条件、标识、使用期限以及相</w:t>
            </w:r>
            <w:r>
              <w:rPr>
                <w:spacing w:val="7"/>
              </w:rPr>
              <w:t xml:space="preserve"> </w:t>
            </w:r>
            <w:r>
              <w:rPr>
                <w:spacing w:val="5"/>
              </w:rPr>
              <w:t>关管理要求。</w:t>
            </w:r>
          </w:p>
        </w:tc>
        <w:tc>
          <w:tcPr>
            <w:tcW w:w="4783" w:type="dxa"/>
            <w:vAlign w:val="top"/>
          </w:tcPr>
          <w:p>
            <w:pPr>
              <w:pStyle w:val="6"/>
              <w:spacing w:before="79" w:line="229" w:lineRule="auto"/>
              <w:ind w:left="122"/>
            </w:pPr>
            <w:r>
              <w:rPr>
                <w:spacing w:val="5"/>
              </w:rPr>
              <w:t>符合规定要求。</w:t>
            </w:r>
          </w:p>
        </w:tc>
        <w:tc>
          <w:tcPr>
            <w:tcW w:w="510" w:type="dxa"/>
            <w:vAlign w:val="top"/>
          </w:tcPr>
          <w:p>
            <w:pPr>
              <w:spacing w:before="114"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9" w:line="229" w:lineRule="auto"/>
              <w:ind w:left="118"/>
            </w:pPr>
            <w:r>
              <w:rPr>
                <w:spacing w:val="7"/>
              </w:rPr>
              <w:t>制度内容或执行略有不足。</w:t>
            </w:r>
          </w:p>
        </w:tc>
        <w:tc>
          <w:tcPr>
            <w:tcW w:w="510" w:type="dxa"/>
            <w:vAlign w:val="top"/>
          </w:tcPr>
          <w:p>
            <w:pPr>
              <w:spacing w:before="115"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77" w:line="229" w:lineRule="auto"/>
              <w:ind w:left="118"/>
            </w:pPr>
            <w:r>
              <w:rPr>
                <w:spacing w:val="7"/>
              </w:rPr>
              <w:t>制度内容或执行严重不足。</w:t>
            </w:r>
          </w:p>
        </w:tc>
        <w:tc>
          <w:tcPr>
            <w:tcW w:w="510" w:type="dxa"/>
            <w:vAlign w:val="top"/>
          </w:tcPr>
          <w:p>
            <w:pPr>
              <w:spacing w:before="113"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5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78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48" w:lineRule="auto"/>
              <w:ind w:left="186" w:right="181" w:firstLine="10"/>
              <w:jc w:val="both"/>
            </w:pPr>
            <w:r>
              <w:rPr>
                <w:spacing w:val="-2"/>
              </w:rPr>
              <w:t>生产</w:t>
            </w:r>
            <w:r>
              <w:t xml:space="preserve"> </w:t>
            </w:r>
            <w:r>
              <w:rPr>
                <w:spacing w:val="3"/>
              </w:rPr>
              <w:t>过程</w:t>
            </w:r>
            <w:r>
              <w:t xml:space="preserve"> </w:t>
            </w:r>
            <w:r>
              <w:rPr>
                <w:spacing w:val="3"/>
              </w:rPr>
              <w:t>控制</w:t>
            </w:r>
          </w:p>
        </w:tc>
        <w:tc>
          <w:tcPr>
            <w:tcW w:w="4543" w:type="dxa"/>
            <w:vMerge w:val="restart"/>
            <w:tcBorders>
              <w:bottom w:val="nil"/>
            </w:tcBorders>
            <w:vAlign w:val="top"/>
          </w:tcPr>
          <w:p>
            <w:pPr>
              <w:pStyle w:val="6"/>
              <w:spacing w:before="49" w:line="250" w:lineRule="auto"/>
              <w:ind w:left="116" w:right="39" w:firstLine="11"/>
              <w:jc w:val="both"/>
            </w:pPr>
            <w:r>
              <w:rPr>
                <w:rFonts w:ascii="Times New Roman" w:hAnsi="Times New Roman" w:eastAsia="Times New Roman" w:cs="Times New Roman"/>
                <w:spacing w:val="7"/>
              </w:rPr>
              <w:t>1.</w:t>
            </w:r>
            <w:r>
              <w:rPr>
                <w:spacing w:val="7"/>
              </w:rPr>
              <w:t>应建立并执行生产过程控制管理制度，</w:t>
            </w:r>
            <w:r>
              <w:rPr>
                <w:spacing w:val="6"/>
              </w:rPr>
              <w:t>制定所</w:t>
            </w:r>
            <w:r>
              <w:t xml:space="preserve"> </w:t>
            </w:r>
            <w:r>
              <w:rPr>
                <w:spacing w:val="-1"/>
              </w:rPr>
              <w:t>需的操作规程或作业指导书，明确原料（如领料、</w:t>
            </w:r>
            <w:r>
              <w:rPr>
                <w:spacing w:val="2"/>
              </w:rPr>
              <w:t xml:space="preserve"> </w:t>
            </w:r>
            <w:r>
              <w:rPr>
                <w:spacing w:val="5"/>
              </w:rPr>
              <w:t>投料、余料管理等）、生产关键环节（如生产工</w:t>
            </w:r>
            <w:r>
              <w:rPr>
                <w:spacing w:val="10"/>
              </w:rPr>
              <w:t xml:space="preserve"> </w:t>
            </w:r>
            <w:r>
              <w:rPr>
                <w:spacing w:val="5"/>
              </w:rPr>
              <w:t>序、设备、贮存、包装等）控制的相关要求，防</w:t>
            </w:r>
            <w:r>
              <w:rPr>
                <w:spacing w:val="10"/>
              </w:rPr>
              <w:t xml:space="preserve"> </w:t>
            </w:r>
            <w:r>
              <w:rPr>
                <w:spacing w:val="5"/>
              </w:rPr>
              <w:t>止交叉污染，并记录产品的加工过程（包括工艺</w:t>
            </w:r>
            <w:r>
              <w:rPr>
                <w:spacing w:val="8"/>
              </w:rPr>
              <w:t xml:space="preserve"> </w:t>
            </w:r>
            <w:r>
              <w:rPr>
                <w:spacing w:val="6"/>
              </w:rPr>
              <w:t>参数、环境监测等）。</w:t>
            </w:r>
          </w:p>
        </w:tc>
        <w:tc>
          <w:tcPr>
            <w:tcW w:w="4783" w:type="dxa"/>
            <w:vAlign w:val="top"/>
          </w:tcPr>
          <w:p>
            <w:pPr>
              <w:pStyle w:val="6"/>
              <w:spacing w:before="78"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8" w:line="229" w:lineRule="auto"/>
              <w:ind w:left="118"/>
            </w:pPr>
            <w:r>
              <w:rPr>
                <w:spacing w:val="8"/>
              </w:rPr>
              <w:t>个别制度内容或执行略有不足。</w:t>
            </w:r>
          </w:p>
        </w:tc>
        <w:tc>
          <w:tcPr>
            <w:tcW w:w="510" w:type="dxa"/>
            <w:vAlign w:val="top"/>
          </w:tcPr>
          <w:p>
            <w:pPr>
              <w:spacing w:before="114"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spacing w:line="331" w:lineRule="auto"/>
              <w:rPr>
                <w:rFonts w:ascii="Arial"/>
                <w:sz w:val="21"/>
              </w:rPr>
            </w:pPr>
          </w:p>
          <w:p>
            <w:pPr>
              <w:pStyle w:val="6"/>
              <w:spacing w:before="65" w:line="229" w:lineRule="auto"/>
              <w:ind w:left="118"/>
            </w:pPr>
            <w:r>
              <w:rPr>
                <w:spacing w:val="7"/>
              </w:rPr>
              <w:t>制度内容或执行严重不足。</w:t>
            </w:r>
          </w:p>
        </w:tc>
        <w:tc>
          <w:tcPr>
            <w:tcW w:w="510" w:type="dxa"/>
            <w:vAlign w:val="top"/>
          </w:tcPr>
          <w:p>
            <w:pPr>
              <w:spacing w:line="373"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258" w:line="245" w:lineRule="auto"/>
              <w:ind w:left="123" w:right="106" w:hanging="15"/>
            </w:pPr>
            <w:r>
              <w:rPr>
                <w:rFonts w:ascii="Times New Roman" w:hAnsi="Times New Roman" w:eastAsia="Times New Roman" w:cs="Times New Roman"/>
                <w:spacing w:val="7"/>
              </w:rPr>
              <w:t>2.</w:t>
            </w:r>
            <w:r>
              <w:rPr>
                <w:spacing w:val="7"/>
              </w:rPr>
              <w:t>应当建立并执行产品清场、清洁消毒等控制要</w:t>
            </w:r>
            <w:r>
              <w:rPr>
                <w:spacing w:val="17"/>
              </w:rPr>
              <w:t xml:space="preserve"> </w:t>
            </w:r>
            <w:r>
              <w:rPr>
                <w:spacing w:val="8"/>
              </w:rPr>
              <w:t>求，防止生产加工过程中产品受到污染。</w:t>
            </w:r>
          </w:p>
        </w:tc>
        <w:tc>
          <w:tcPr>
            <w:tcW w:w="4783" w:type="dxa"/>
            <w:vAlign w:val="top"/>
          </w:tcPr>
          <w:p>
            <w:pPr>
              <w:pStyle w:val="6"/>
              <w:spacing w:before="78" w:line="229" w:lineRule="auto"/>
              <w:ind w:left="122"/>
            </w:pPr>
            <w:r>
              <w:rPr>
                <w:spacing w:val="5"/>
              </w:rPr>
              <w:t>符合规定要求。</w:t>
            </w:r>
          </w:p>
        </w:tc>
        <w:tc>
          <w:tcPr>
            <w:tcW w:w="510" w:type="dxa"/>
            <w:vAlign w:val="top"/>
          </w:tcPr>
          <w:p>
            <w:pPr>
              <w:spacing w:before="114"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49" w:line="208" w:lineRule="auto"/>
              <w:ind w:left="118"/>
            </w:pPr>
            <w:r>
              <w:rPr>
                <w:spacing w:val="8"/>
              </w:rPr>
              <w:t>个别制度内容或执行略有不足。</w:t>
            </w:r>
          </w:p>
        </w:tc>
        <w:tc>
          <w:tcPr>
            <w:tcW w:w="510" w:type="dxa"/>
            <w:vAlign w:val="top"/>
          </w:tcPr>
          <w:p>
            <w:pPr>
              <w:spacing w:before="86"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79" w:line="229" w:lineRule="auto"/>
              <w:ind w:left="118"/>
            </w:pPr>
            <w:r>
              <w:rPr>
                <w:spacing w:val="7"/>
              </w:rPr>
              <w:t>制度内容或执行严重不足。</w:t>
            </w:r>
          </w:p>
        </w:tc>
        <w:tc>
          <w:tcPr>
            <w:tcW w:w="510" w:type="dxa"/>
            <w:vAlign w:val="top"/>
          </w:tcPr>
          <w:p>
            <w:pPr>
              <w:spacing w:before="115"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113" w:line="244" w:lineRule="auto"/>
              <w:ind w:left="119" w:right="106" w:hanging="7"/>
            </w:pPr>
            <w:r>
              <w:rPr>
                <w:rFonts w:ascii="Times New Roman" w:hAnsi="Times New Roman" w:eastAsia="Times New Roman" w:cs="Times New Roman"/>
                <w:spacing w:val="16"/>
              </w:rPr>
              <w:t>3.</w:t>
            </w:r>
            <w:r>
              <w:rPr>
                <w:rFonts w:ascii="Times New Roman" w:hAnsi="Times New Roman" w:eastAsia="Times New Roman" w:cs="Times New Roman"/>
                <w:spacing w:val="-19"/>
              </w:rPr>
              <w:t xml:space="preserve"> </w:t>
            </w:r>
            <w:r>
              <w:rPr>
                <w:spacing w:val="16"/>
              </w:rPr>
              <w:t>用于配方的各单一品种食品添加剂应为食品</w:t>
            </w:r>
            <w:r>
              <w:t xml:space="preserve"> </w:t>
            </w:r>
            <w:r>
              <w:rPr>
                <w:spacing w:val="5"/>
              </w:rPr>
              <w:t>安全国家标准准许使用的食品添加剂品种，且具</w:t>
            </w:r>
          </w:p>
        </w:tc>
        <w:tc>
          <w:tcPr>
            <w:tcW w:w="4783" w:type="dxa"/>
            <w:vAlign w:val="top"/>
          </w:tcPr>
          <w:p>
            <w:pPr>
              <w:pStyle w:val="6"/>
              <w:spacing w:before="80" w:line="229" w:lineRule="auto"/>
              <w:ind w:left="122"/>
            </w:pPr>
            <w:r>
              <w:rPr>
                <w:spacing w:val="5"/>
              </w:rPr>
              <w:t>符合规定要求。</w:t>
            </w:r>
          </w:p>
        </w:tc>
        <w:tc>
          <w:tcPr>
            <w:tcW w:w="510" w:type="dxa"/>
            <w:vAlign w:val="top"/>
          </w:tcPr>
          <w:p>
            <w:pPr>
              <w:spacing w:before="115"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80" w:line="229" w:lineRule="auto"/>
              <w:ind w:left="122"/>
            </w:pPr>
            <w:r>
              <w:rPr>
                <w:spacing w:val="5"/>
              </w:rPr>
              <w:t>不符合规定。</w:t>
            </w:r>
          </w:p>
        </w:tc>
        <w:tc>
          <w:tcPr>
            <w:tcW w:w="510" w:type="dxa"/>
            <w:vAlign w:val="top"/>
          </w:tcPr>
          <w:p>
            <w:pPr>
              <w:spacing w:before="115"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2" w:type="default"/>
          <w:pgSz w:w="15840" w:h="12240"/>
          <w:pgMar w:top="1040" w:right="407" w:bottom="897" w:left="1038" w:header="0" w:footer="723" w:gutter="0"/>
          <w:cols w:space="720" w:num="1"/>
        </w:sectPr>
      </w:pPr>
    </w:p>
    <w:p>
      <w:pPr>
        <w:spacing w:before="12"/>
      </w:pPr>
    </w:p>
    <w:p>
      <w:pPr>
        <w:spacing w:before="12"/>
      </w:pPr>
    </w:p>
    <w:p>
      <w:pPr>
        <w:spacing w:before="11"/>
      </w:pPr>
    </w:p>
    <w:tbl>
      <w:tblPr>
        <w:tblStyle w:val="5"/>
        <w:tblW w:w="14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780"/>
        <w:gridCol w:w="4543"/>
        <w:gridCol w:w="4783"/>
        <w:gridCol w:w="510"/>
        <w:gridCol w:w="1469"/>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5" w:type="dxa"/>
            <w:vAlign w:val="top"/>
          </w:tcPr>
          <w:p>
            <w:pPr>
              <w:spacing w:before="188" w:line="231" w:lineRule="auto"/>
              <w:ind w:left="128"/>
              <w:rPr>
                <w:rFonts w:ascii="黑体" w:hAnsi="黑体" w:eastAsia="黑体" w:cs="黑体"/>
                <w:sz w:val="20"/>
                <w:szCs w:val="20"/>
              </w:rPr>
            </w:pPr>
            <w:r>
              <w:rPr>
                <w:rFonts w:ascii="黑体" w:hAnsi="黑体" w:eastAsia="黑体" w:cs="黑体"/>
                <w:spacing w:val="4"/>
                <w:sz w:val="20"/>
                <w:szCs w:val="20"/>
              </w:rPr>
              <w:t>序号</w:t>
            </w:r>
          </w:p>
        </w:tc>
        <w:tc>
          <w:tcPr>
            <w:tcW w:w="780" w:type="dxa"/>
            <w:vAlign w:val="top"/>
          </w:tcPr>
          <w:p>
            <w:pPr>
              <w:spacing w:before="49" w:line="235" w:lineRule="auto"/>
              <w:ind w:left="183" w:right="18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43" w:type="dxa"/>
            <w:vAlign w:val="top"/>
          </w:tcPr>
          <w:p>
            <w:pPr>
              <w:spacing w:before="188" w:line="231" w:lineRule="auto"/>
              <w:ind w:left="1852"/>
              <w:rPr>
                <w:rFonts w:ascii="黑体" w:hAnsi="黑体" w:eastAsia="黑体" w:cs="黑体"/>
                <w:sz w:val="20"/>
                <w:szCs w:val="20"/>
              </w:rPr>
            </w:pPr>
            <w:r>
              <w:rPr>
                <w:rFonts w:ascii="黑体" w:hAnsi="黑体" w:eastAsia="黑体" w:cs="黑体"/>
                <w:spacing w:val="7"/>
                <w:sz w:val="20"/>
                <w:szCs w:val="20"/>
              </w:rPr>
              <w:t>核查内容</w:t>
            </w:r>
          </w:p>
        </w:tc>
        <w:tc>
          <w:tcPr>
            <w:tcW w:w="5293" w:type="dxa"/>
            <w:gridSpan w:val="2"/>
            <w:vAlign w:val="top"/>
          </w:tcPr>
          <w:p>
            <w:pPr>
              <w:spacing w:before="188" w:line="230" w:lineRule="auto"/>
              <w:ind w:left="2230"/>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88" w:line="230" w:lineRule="auto"/>
              <w:ind w:left="320"/>
              <w:rPr>
                <w:rFonts w:ascii="黑体" w:hAnsi="黑体" w:eastAsia="黑体" w:cs="黑体"/>
                <w:sz w:val="20"/>
                <w:szCs w:val="20"/>
              </w:rPr>
            </w:pPr>
            <w:r>
              <w:rPr>
                <w:rFonts w:ascii="黑体" w:hAnsi="黑体" w:eastAsia="黑体" w:cs="黑体"/>
                <w:spacing w:val="7"/>
                <w:sz w:val="20"/>
                <w:szCs w:val="20"/>
              </w:rPr>
              <w:t>核查记录</w:t>
            </w:r>
          </w:p>
        </w:tc>
        <w:tc>
          <w:tcPr>
            <w:tcW w:w="1639" w:type="dxa"/>
            <w:vAlign w:val="top"/>
          </w:tcPr>
          <w:p>
            <w:pPr>
              <w:spacing w:before="188" w:line="231" w:lineRule="auto"/>
              <w:ind w:left="402"/>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665" w:type="dxa"/>
            <w:vMerge w:val="restart"/>
            <w:tcBorders>
              <w:bottom w:val="nil"/>
            </w:tcBorders>
            <w:vAlign w:val="top"/>
          </w:tcPr>
          <w:p>
            <w:pPr>
              <w:rPr>
                <w:rFonts w:ascii="Arial"/>
                <w:sz w:val="21"/>
              </w:rPr>
            </w:pPr>
          </w:p>
        </w:tc>
        <w:tc>
          <w:tcPr>
            <w:tcW w:w="780" w:type="dxa"/>
            <w:vMerge w:val="restart"/>
            <w:tcBorders>
              <w:bottom w:val="nil"/>
            </w:tcBorders>
            <w:vAlign w:val="top"/>
          </w:tcPr>
          <w:p>
            <w:pPr>
              <w:rPr>
                <w:rFonts w:ascii="Arial"/>
                <w:sz w:val="21"/>
              </w:rPr>
            </w:pPr>
          </w:p>
        </w:tc>
        <w:tc>
          <w:tcPr>
            <w:tcW w:w="4543" w:type="dxa"/>
            <w:vAlign w:val="top"/>
          </w:tcPr>
          <w:p>
            <w:pPr>
              <w:pStyle w:val="6"/>
              <w:spacing w:before="46" w:line="253" w:lineRule="auto"/>
              <w:ind w:left="108" w:right="106" w:firstLine="7"/>
              <w:jc w:val="both"/>
            </w:pPr>
            <w:r>
              <w:rPr>
                <w:spacing w:val="5"/>
              </w:rPr>
              <w:t>有共同的使用范围。用于配方的食品原料应当为</w:t>
            </w:r>
            <w:r>
              <w:rPr>
                <w:spacing w:val="7"/>
              </w:rPr>
              <w:t xml:space="preserve"> </w:t>
            </w:r>
            <w:r>
              <w:rPr>
                <w:spacing w:val="5"/>
              </w:rPr>
              <w:t>复配食品添加剂自身工艺必需添加，且应当符合</w:t>
            </w:r>
            <w:r>
              <w:rPr>
                <w:spacing w:val="16"/>
              </w:rPr>
              <w:t xml:space="preserve"> </w:t>
            </w:r>
            <w:r>
              <w:rPr>
                <w:spacing w:val="5"/>
              </w:rPr>
              <w:t>相应的食品安全国家标准。在满足工艺必要性的</w:t>
            </w:r>
            <w:r>
              <w:rPr>
                <w:spacing w:val="16"/>
              </w:rPr>
              <w:t xml:space="preserve"> </w:t>
            </w:r>
            <w:r>
              <w:rPr>
                <w:spacing w:val="5"/>
              </w:rPr>
              <w:t>前提下，应当尽可能使用单一成分食品原料。复</w:t>
            </w:r>
            <w:r>
              <w:rPr>
                <w:spacing w:val="17"/>
              </w:rPr>
              <w:t xml:space="preserve"> </w:t>
            </w:r>
            <w:r>
              <w:rPr>
                <w:spacing w:val="5"/>
              </w:rPr>
              <w:t>配后在食品中的使用范围和使用量应符合《食品</w:t>
            </w:r>
            <w:r>
              <w:rPr>
                <w:spacing w:val="14"/>
              </w:rPr>
              <w:t xml:space="preserve"> </w:t>
            </w:r>
            <w:r>
              <w:rPr>
                <w:spacing w:val="21"/>
              </w:rPr>
              <w:t>安全国家标准</w:t>
            </w:r>
            <w:r>
              <w:rPr>
                <w:spacing w:val="71"/>
              </w:rPr>
              <w:t xml:space="preserve"> </w:t>
            </w:r>
            <w:r>
              <w:rPr>
                <w:spacing w:val="21"/>
              </w:rPr>
              <w:t>食品添加剂使用标准》</w:t>
            </w:r>
            <w:r>
              <w:rPr>
                <w:spacing w:val="-44"/>
              </w:rPr>
              <w:t xml:space="preserve"> </w:t>
            </w:r>
            <w:r>
              <w:rPr>
                <w:spacing w:val="21"/>
              </w:rPr>
              <w:t>（</w:t>
            </w:r>
            <w:r>
              <w:rPr>
                <w:spacing w:val="-41"/>
              </w:rPr>
              <w:t xml:space="preserve"> </w:t>
            </w:r>
            <w:r>
              <w:rPr>
                <w:rFonts w:ascii="Times New Roman" w:hAnsi="Times New Roman" w:eastAsia="Times New Roman" w:cs="Times New Roman"/>
              </w:rPr>
              <w:t xml:space="preserve">GB </w:t>
            </w:r>
            <w:r>
              <w:rPr>
                <w:rFonts w:ascii="Times New Roman" w:hAnsi="Times New Roman" w:eastAsia="Times New Roman" w:cs="Times New Roman"/>
                <w:spacing w:val="7"/>
              </w:rPr>
              <w:t>2760</w:t>
            </w:r>
            <w:r>
              <w:rPr>
                <w:spacing w:val="7"/>
              </w:rPr>
              <w:t>）</w:t>
            </w:r>
            <w:r>
              <w:rPr>
                <w:spacing w:val="-42"/>
              </w:rPr>
              <w:t xml:space="preserve"> </w:t>
            </w:r>
            <w:r>
              <w:rPr>
                <w:spacing w:val="7"/>
              </w:rPr>
              <w:t>、《食品安全国家标准 食品营养强化剂</w:t>
            </w:r>
            <w:r>
              <w:t xml:space="preserve"> </w:t>
            </w:r>
            <w:r>
              <w:rPr>
                <w:spacing w:val="11"/>
              </w:rPr>
              <w:t>使用标准》</w:t>
            </w:r>
            <w:r>
              <w:rPr>
                <w:spacing w:val="-72"/>
              </w:rPr>
              <w:t xml:space="preserve"> </w:t>
            </w:r>
            <w:r>
              <w:rPr>
                <w:spacing w:val="11"/>
              </w:rPr>
              <w:t>（</w:t>
            </w:r>
            <w:r>
              <w:rPr>
                <w:rFonts w:ascii="Times New Roman" w:hAnsi="Times New Roman" w:eastAsia="Times New Roman" w:cs="Times New Roman"/>
              </w:rPr>
              <w:t>GB</w:t>
            </w:r>
            <w:r>
              <w:rPr>
                <w:rFonts w:ascii="Times New Roman" w:hAnsi="Times New Roman" w:eastAsia="Times New Roman" w:cs="Times New Roman"/>
                <w:spacing w:val="35"/>
              </w:rPr>
              <w:t xml:space="preserve"> </w:t>
            </w:r>
            <w:r>
              <w:rPr>
                <w:rFonts w:ascii="Times New Roman" w:hAnsi="Times New Roman" w:eastAsia="Times New Roman" w:cs="Times New Roman"/>
                <w:spacing w:val="11"/>
              </w:rPr>
              <w:t>14880</w:t>
            </w:r>
            <w:r>
              <w:rPr>
                <w:spacing w:val="11"/>
              </w:rPr>
              <w:t>）和国务院卫生行政部</w:t>
            </w:r>
            <w:r>
              <w:t xml:space="preserve"> </w:t>
            </w:r>
            <w:r>
              <w:rPr>
                <w:spacing w:val="7"/>
              </w:rPr>
              <w:t>门公告的规定。</w:t>
            </w:r>
          </w:p>
        </w:tc>
        <w:tc>
          <w:tcPr>
            <w:tcW w:w="4783" w:type="dxa"/>
            <w:vAlign w:val="top"/>
          </w:tcPr>
          <w:p>
            <w:pPr>
              <w:rPr>
                <w:rFonts w:ascii="Arial"/>
                <w:sz w:val="21"/>
              </w:rPr>
            </w:pPr>
          </w:p>
        </w:tc>
        <w:tc>
          <w:tcPr>
            <w:tcW w:w="510" w:type="dxa"/>
            <w:vAlign w:val="top"/>
          </w:tcPr>
          <w:p>
            <w:pPr>
              <w:rPr>
                <w:rFonts w:ascii="Arial"/>
                <w:sz w:val="21"/>
              </w:rPr>
            </w:pP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113" w:line="243" w:lineRule="auto"/>
              <w:ind w:left="129" w:right="106" w:hanging="22"/>
            </w:pPr>
            <w:r>
              <w:rPr>
                <w:rFonts w:ascii="Times New Roman" w:hAnsi="Times New Roman" w:eastAsia="Times New Roman" w:cs="Times New Roman"/>
                <w:spacing w:val="16"/>
              </w:rPr>
              <w:t>4.</w:t>
            </w:r>
            <w:r>
              <w:rPr>
                <w:rFonts w:ascii="Times New Roman" w:hAnsi="Times New Roman" w:eastAsia="Times New Roman" w:cs="Times New Roman"/>
                <w:spacing w:val="-14"/>
              </w:rPr>
              <w:t xml:space="preserve"> </w:t>
            </w:r>
            <w:r>
              <w:rPr>
                <w:spacing w:val="16"/>
              </w:rPr>
              <w:t>应当确保复配食品添加剂在生产过程中不发</w:t>
            </w:r>
            <w:r>
              <w:t xml:space="preserve"> </w:t>
            </w:r>
            <w:r>
              <w:rPr>
                <w:spacing w:val="7"/>
              </w:rPr>
              <w:t>生化学反应，不产生新的化合物。</w:t>
            </w:r>
          </w:p>
        </w:tc>
        <w:tc>
          <w:tcPr>
            <w:tcW w:w="4783" w:type="dxa"/>
            <w:vAlign w:val="top"/>
          </w:tcPr>
          <w:p>
            <w:pPr>
              <w:pStyle w:val="6"/>
              <w:spacing w:before="77" w:line="229" w:lineRule="auto"/>
              <w:ind w:left="122"/>
            </w:pPr>
            <w:r>
              <w:rPr>
                <w:spacing w:val="5"/>
              </w:rPr>
              <w:t>符合规定要求。</w:t>
            </w:r>
          </w:p>
        </w:tc>
        <w:tc>
          <w:tcPr>
            <w:tcW w:w="510" w:type="dxa"/>
            <w:vAlign w:val="top"/>
          </w:tcPr>
          <w:p>
            <w:pPr>
              <w:spacing w:before="112"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77" w:line="229" w:lineRule="auto"/>
              <w:ind w:left="122"/>
            </w:pPr>
            <w:r>
              <w:rPr>
                <w:spacing w:val="5"/>
              </w:rPr>
              <w:t>不符合规定。</w:t>
            </w:r>
          </w:p>
        </w:tc>
        <w:tc>
          <w:tcPr>
            <w:tcW w:w="510" w:type="dxa"/>
            <w:vAlign w:val="top"/>
          </w:tcPr>
          <w:p>
            <w:pPr>
              <w:spacing w:before="113"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34" w:line="242" w:lineRule="auto"/>
              <w:ind w:left="116" w:right="57" w:hanging="3"/>
              <w:jc w:val="both"/>
            </w:pPr>
            <w:r>
              <w:rPr>
                <w:rFonts w:ascii="Times New Roman" w:hAnsi="Times New Roman" w:eastAsia="Times New Roman" w:cs="Times New Roman"/>
                <w:spacing w:val="16"/>
              </w:rPr>
              <w:t>5.</w:t>
            </w:r>
            <w:r>
              <w:rPr>
                <w:rFonts w:ascii="Times New Roman" w:hAnsi="Times New Roman" w:eastAsia="Times New Roman" w:cs="Times New Roman"/>
                <w:spacing w:val="-20"/>
              </w:rPr>
              <w:t xml:space="preserve"> </w:t>
            </w:r>
            <w:r>
              <w:rPr>
                <w:spacing w:val="16"/>
              </w:rPr>
              <w:t>不得使用复配食品添加剂作为原料再次进行</w:t>
            </w:r>
            <w:r>
              <w:t xml:space="preserve"> </w:t>
            </w:r>
            <w:r>
              <w:rPr>
                <w:spacing w:val="7"/>
              </w:rPr>
              <w:t>复配，不得使用食品用香精作为原料进行复配。</w:t>
            </w:r>
            <w:r>
              <w:rPr>
                <w:spacing w:val="15"/>
              </w:rPr>
              <w:t xml:space="preserve"> 复配食品添加剂生产应当严格按照产品配方投</w:t>
            </w:r>
            <w:r>
              <w:rPr>
                <w:spacing w:val="13"/>
              </w:rPr>
              <w:t xml:space="preserve"> </w:t>
            </w:r>
            <w:r>
              <w:rPr>
                <w:spacing w:val="7"/>
              </w:rPr>
              <w:t>料，并建立复核制度。</w:t>
            </w:r>
          </w:p>
        </w:tc>
        <w:tc>
          <w:tcPr>
            <w:tcW w:w="4783" w:type="dxa"/>
            <w:vAlign w:val="top"/>
          </w:tcPr>
          <w:p>
            <w:pPr>
              <w:pStyle w:val="6"/>
              <w:spacing w:before="78"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277" w:line="229" w:lineRule="auto"/>
              <w:ind w:left="122"/>
            </w:pPr>
            <w:r>
              <w:rPr>
                <w:spacing w:val="6"/>
              </w:rPr>
              <w:t>不符合规定要求。</w:t>
            </w:r>
          </w:p>
        </w:tc>
        <w:tc>
          <w:tcPr>
            <w:tcW w:w="510" w:type="dxa"/>
            <w:vAlign w:val="top"/>
          </w:tcPr>
          <w:p>
            <w:pPr>
              <w:spacing w:line="254" w:lineRule="auto"/>
              <w:rPr>
                <w:rFonts w:ascii="Arial"/>
                <w:sz w:val="21"/>
              </w:rPr>
            </w:pPr>
          </w:p>
          <w:p>
            <w:pPr>
              <w:spacing w:before="5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780" w:type="dxa"/>
            <w:vMerge w:val="restart"/>
            <w:tcBorders>
              <w:bottom w:val="nil"/>
            </w:tcBorders>
            <w:vAlign w:val="top"/>
          </w:tcPr>
          <w:p>
            <w:pPr>
              <w:spacing w:line="319" w:lineRule="auto"/>
              <w:rPr>
                <w:rFonts w:ascii="Arial"/>
                <w:sz w:val="21"/>
              </w:rPr>
            </w:pPr>
          </w:p>
          <w:p>
            <w:pPr>
              <w:spacing w:line="320" w:lineRule="auto"/>
              <w:rPr>
                <w:rFonts w:ascii="Arial"/>
                <w:sz w:val="21"/>
              </w:rPr>
            </w:pPr>
          </w:p>
          <w:p>
            <w:pPr>
              <w:spacing w:line="320" w:lineRule="auto"/>
              <w:rPr>
                <w:rFonts w:ascii="Arial"/>
                <w:sz w:val="21"/>
              </w:rPr>
            </w:pPr>
          </w:p>
          <w:p>
            <w:pPr>
              <w:pStyle w:val="6"/>
              <w:spacing w:before="65" w:line="223" w:lineRule="auto"/>
              <w:ind w:left="181"/>
            </w:pPr>
            <w:r>
              <w:rPr>
                <w:spacing w:val="6"/>
              </w:rPr>
              <w:t>检验</w:t>
            </w:r>
          </w:p>
          <w:p>
            <w:pPr>
              <w:pStyle w:val="6"/>
              <w:spacing w:before="36" w:line="227" w:lineRule="auto"/>
              <w:ind w:left="184"/>
            </w:pPr>
            <w:r>
              <w:rPr>
                <w:spacing w:val="4"/>
              </w:rPr>
              <w:t>管理</w:t>
            </w:r>
          </w:p>
          <w:p>
            <w:pPr>
              <w:pStyle w:val="6"/>
              <w:spacing w:before="35" w:line="228" w:lineRule="auto"/>
              <w:ind w:left="181"/>
            </w:pPr>
            <w:r>
              <w:rPr>
                <w:spacing w:val="6"/>
              </w:rPr>
              <w:t>及出</w:t>
            </w:r>
          </w:p>
          <w:p>
            <w:pPr>
              <w:pStyle w:val="6"/>
              <w:spacing w:before="33" w:line="223" w:lineRule="auto"/>
              <w:ind w:left="189"/>
            </w:pPr>
            <w:r>
              <w:rPr>
                <w:spacing w:val="2"/>
              </w:rPr>
              <w:t>厂检</w:t>
            </w:r>
          </w:p>
          <w:p>
            <w:pPr>
              <w:pStyle w:val="6"/>
              <w:spacing w:before="36" w:line="231" w:lineRule="auto"/>
              <w:ind w:left="184"/>
            </w:pPr>
            <w:r>
              <w:rPr>
                <w:spacing w:val="4"/>
              </w:rPr>
              <w:t>验记</w:t>
            </w:r>
          </w:p>
          <w:p>
            <w:pPr>
              <w:pStyle w:val="6"/>
              <w:spacing w:before="31" w:line="226" w:lineRule="auto"/>
              <w:ind w:left="296"/>
            </w:pPr>
            <w:r>
              <w:t>录</w:t>
            </w:r>
          </w:p>
        </w:tc>
        <w:tc>
          <w:tcPr>
            <w:tcW w:w="4543" w:type="dxa"/>
            <w:vMerge w:val="restart"/>
            <w:tcBorders>
              <w:bottom w:val="nil"/>
            </w:tcBorders>
            <w:vAlign w:val="top"/>
          </w:tcPr>
          <w:p>
            <w:pPr>
              <w:pStyle w:val="6"/>
              <w:spacing w:before="50" w:line="255" w:lineRule="auto"/>
              <w:ind w:left="116" w:right="63" w:firstLine="11"/>
              <w:jc w:val="both"/>
            </w:pPr>
            <w:r>
              <w:rPr>
                <w:rFonts w:ascii="Times New Roman" w:hAnsi="Times New Roman" w:eastAsia="Times New Roman" w:cs="Times New Roman"/>
                <w:spacing w:val="15"/>
              </w:rPr>
              <w:t>1.</w:t>
            </w:r>
            <w:r>
              <w:rPr>
                <w:rFonts w:ascii="Times New Roman" w:hAnsi="Times New Roman" w:eastAsia="Times New Roman" w:cs="Times New Roman"/>
                <w:spacing w:val="-14"/>
              </w:rPr>
              <w:t xml:space="preserve"> </w:t>
            </w:r>
            <w:r>
              <w:rPr>
                <w:spacing w:val="15"/>
              </w:rPr>
              <w:t>应当建立并执行检验管理制度，规定原料检</w:t>
            </w:r>
            <w:r>
              <w:t xml:space="preserve"> </w:t>
            </w:r>
            <w:r>
              <w:rPr>
                <w:spacing w:val="5"/>
              </w:rPr>
              <w:t>验、过程检验、产品出厂检验以及产品留样的方</w:t>
            </w:r>
            <w:r>
              <w:rPr>
                <w:spacing w:val="8"/>
              </w:rPr>
              <w:t xml:space="preserve"> </w:t>
            </w:r>
            <w:r>
              <w:rPr>
                <w:spacing w:val="5"/>
              </w:rPr>
              <w:t>式及要求，应当按照食品安全国家标准、国务院</w:t>
            </w:r>
            <w:r>
              <w:rPr>
                <w:spacing w:val="8"/>
              </w:rPr>
              <w:t xml:space="preserve"> </w:t>
            </w:r>
            <w:r>
              <w:rPr>
                <w:spacing w:val="15"/>
              </w:rPr>
              <w:t>卫生行政部门公告规定的项目对所生产的复配</w:t>
            </w:r>
            <w:r>
              <w:rPr>
                <w:spacing w:val="10"/>
              </w:rPr>
              <w:t xml:space="preserve"> </w:t>
            </w:r>
            <w:r>
              <w:rPr>
                <w:spacing w:val="7"/>
              </w:rPr>
              <w:t>食品添加剂出厂逐批检验感官要求、有害物质、</w:t>
            </w:r>
            <w:r>
              <w:rPr>
                <w:spacing w:val="9"/>
              </w:rPr>
              <w:t xml:space="preserve"> </w:t>
            </w:r>
            <w:r>
              <w:rPr>
                <w:spacing w:val="5"/>
              </w:rPr>
              <w:t>致病微生物，保存相关检验和留样记录。检验方</w:t>
            </w:r>
            <w:r>
              <w:rPr>
                <w:spacing w:val="8"/>
              </w:rPr>
              <w:t xml:space="preserve"> </w:t>
            </w:r>
            <w:r>
              <w:rPr>
                <w:spacing w:val="5"/>
              </w:rPr>
              <w:t>法应符合食品安全国家标准、指定标准或有关行 业标准规定。委托检验的，应当委托有资质的机</w:t>
            </w:r>
            <w:r>
              <w:rPr>
                <w:spacing w:val="8"/>
              </w:rPr>
              <w:t xml:space="preserve"> </w:t>
            </w:r>
            <w:r>
              <w:rPr>
                <w:spacing w:val="5"/>
              </w:rPr>
              <w:t>构进行检验。</w:t>
            </w:r>
          </w:p>
          <w:p>
            <w:pPr>
              <w:pStyle w:val="6"/>
              <w:spacing w:before="28" w:line="247" w:lineRule="auto"/>
              <w:ind w:left="121" w:right="39" w:firstLine="415"/>
              <w:jc w:val="both"/>
            </w:pPr>
            <w:r>
              <w:rPr>
                <w:spacing w:val="4"/>
              </w:rPr>
              <w:t>应当建立并执行产品出厂检验记录制度，规</w:t>
            </w:r>
            <w:r>
              <w:rPr>
                <w:spacing w:val="16"/>
              </w:rPr>
              <w:t xml:space="preserve"> </w:t>
            </w:r>
            <w:r>
              <w:rPr>
                <w:spacing w:val="5"/>
              </w:rPr>
              <w:t>定产品出厂时，查验出厂产品的安全状况和检验</w:t>
            </w:r>
            <w:r>
              <w:t xml:space="preserve"> </w:t>
            </w:r>
            <w:r>
              <w:rPr>
                <w:spacing w:val="5"/>
              </w:rPr>
              <w:t xml:space="preserve">合格证明，记录产品的名称、规格、数量、生产 </w:t>
            </w:r>
            <w:r>
              <w:rPr>
                <w:spacing w:val="-1"/>
              </w:rPr>
              <w:t>日期或者生产批号、保质期、检验合格证明编</w:t>
            </w:r>
            <w:r>
              <w:rPr>
                <w:spacing w:val="-2"/>
              </w:rPr>
              <w:t>号、</w:t>
            </w:r>
          </w:p>
        </w:tc>
        <w:tc>
          <w:tcPr>
            <w:tcW w:w="4783" w:type="dxa"/>
            <w:vAlign w:val="top"/>
          </w:tcPr>
          <w:p>
            <w:pPr>
              <w:pStyle w:val="6"/>
              <w:spacing w:before="79" w:line="229" w:lineRule="auto"/>
              <w:ind w:left="122"/>
            </w:pPr>
            <w:r>
              <w:rPr>
                <w:spacing w:val="5"/>
              </w:rPr>
              <w:t>符合规定要求。</w:t>
            </w:r>
          </w:p>
        </w:tc>
        <w:tc>
          <w:tcPr>
            <w:tcW w:w="510" w:type="dxa"/>
            <w:vAlign w:val="top"/>
          </w:tcPr>
          <w:p>
            <w:pPr>
              <w:spacing w:before="114"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9" w:line="229" w:lineRule="auto"/>
              <w:ind w:left="118"/>
            </w:pPr>
            <w:r>
              <w:rPr>
                <w:spacing w:val="7"/>
              </w:rPr>
              <w:t>制度内容或执行略有不足。</w:t>
            </w:r>
          </w:p>
        </w:tc>
        <w:tc>
          <w:tcPr>
            <w:tcW w:w="510" w:type="dxa"/>
            <w:vAlign w:val="top"/>
          </w:tcPr>
          <w:p>
            <w:pPr>
              <w:spacing w:before="115"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6"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spacing w:line="471" w:lineRule="auto"/>
              <w:rPr>
                <w:rFonts w:ascii="Arial"/>
                <w:sz w:val="21"/>
              </w:rPr>
            </w:pPr>
          </w:p>
          <w:p>
            <w:pPr>
              <w:pStyle w:val="6"/>
              <w:spacing w:before="65" w:line="246" w:lineRule="auto"/>
              <w:ind w:left="120" w:right="104" w:firstLine="8"/>
            </w:pPr>
            <w:r>
              <w:rPr>
                <w:rFonts w:ascii="Times New Roman" w:hAnsi="Times New Roman" w:eastAsia="Times New Roman" w:cs="Times New Roman"/>
                <w:spacing w:val="8"/>
              </w:rPr>
              <w:t>1.</w:t>
            </w:r>
            <w:r>
              <w:rPr>
                <w:spacing w:val="8"/>
              </w:rPr>
              <w:t>未按检验管理制度实施原辅料、半成品检验现象</w:t>
            </w:r>
            <w:r>
              <w:rPr>
                <w:spacing w:val="10"/>
              </w:rPr>
              <w:t xml:space="preserve"> </w:t>
            </w:r>
            <w:r>
              <w:t>普遍。</w:t>
            </w:r>
          </w:p>
          <w:p>
            <w:pPr>
              <w:pStyle w:val="6"/>
              <w:spacing w:before="24" w:line="229" w:lineRule="auto"/>
              <w:ind w:left="108"/>
            </w:pPr>
            <w:r>
              <w:rPr>
                <w:rFonts w:ascii="Times New Roman" w:hAnsi="Times New Roman" w:eastAsia="Times New Roman" w:cs="Times New Roman"/>
                <w:spacing w:val="8"/>
              </w:rPr>
              <w:t>2.</w:t>
            </w:r>
            <w:r>
              <w:rPr>
                <w:spacing w:val="8"/>
              </w:rPr>
              <w:t>未按规定实施成品出厂全项目检验。</w:t>
            </w:r>
          </w:p>
          <w:p>
            <w:pPr>
              <w:pStyle w:val="6"/>
              <w:spacing w:before="33" w:line="228" w:lineRule="auto"/>
              <w:ind w:left="112"/>
            </w:pPr>
            <w:r>
              <w:rPr>
                <w:rFonts w:ascii="Times New Roman" w:hAnsi="Times New Roman" w:eastAsia="Times New Roman" w:cs="Times New Roman"/>
                <w:spacing w:val="8"/>
              </w:rPr>
              <w:t>3.</w:t>
            </w:r>
            <w:r>
              <w:rPr>
                <w:spacing w:val="8"/>
              </w:rPr>
              <w:t>产品在出厂检验工作未完成前已出厂销售。</w:t>
            </w:r>
          </w:p>
          <w:p>
            <w:pPr>
              <w:pStyle w:val="6"/>
              <w:spacing w:before="33" w:line="244" w:lineRule="auto"/>
              <w:ind w:left="127" w:right="104" w:hanging="20"/>
            </w:pPr>
            <w:r>
              <w:rPr>
                <w:rFonts w:ascii="Times New Roman" w:hAnsi="Times New Roman" w:eastAsia="Times New Roman" w:cs="Times New Roman"/>
                <w:spacing w:val="7"/>
              </w:rPr>
              <w:t>4.</w:t>
            </w:r>
            <w:r>
              <w:rPr>
                <w:spacing w:val="7"/>
              </w:rPr>
              <w:t>产品批次定义混乱，</w:t>
            </w:r>
            <w:r>
              <w:rPr>
                <w:spacing w:val="-46"/>
              </w:rPr>
              <w:t xml:space="preserve"> </w:t>
            </w:r>
            <w:r>
              <w:rPr>
                <w:spacing w:val="7"/>
              </w:rPr>
              <w:t>出厂逐批检验制度无法有效</w:t>
            </w:r>
            <w:r>
              <w:t xml:space="preserve"> </w:t>
            </w:r>
            <w:r>
              <w:rPr>
                <w:spacing w:val="-2"/>
              </w:rPr>
              <w:t>落实。</w:t>
            </w:r>
          </w:p>
          <w:p>
            <w:pPr>
              <w:pStyle w:val="6"/>
              <w:spacing w:before="31" w:line="229" w:lineRule="auto"/>
              <w:ind w:left="114"/>
            </w:pPr>
            <w:r>
              <w:rPr>
                <w:rFonts w:ascii="Times New Roman" w:hAnsi="Times New Roman" w:eastAsia="Times New Roman" w:cs="Times New Roman"/>
                <w:spacing w:val="8"/>
              </w:rPr>
              <w:t>5.</w:t>
            </w:r>
            <w:r>
              <w:rPr>
                <w:spacing w:val="8"/>
              </w:rPr>
              <w:t>其他制度内容或执行严重不足的情形。</w:t>
            </w:r>
          </w:p>
        </w:tc>
        <w:tc>
          <w:tcPr>
            <w:tcW w:w="510"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3" w:type="default"/>
          <w:pgSz w:w="15840" w:h="12240"/>
          <w:pgMar w:top="1040" w:right="407" w:bottom="897" w:left="1038" w:header="0" w:footer="723" w:gutter="0"/>
          <w:cols w:space="720" w:num="1"/>
        </w:sectPr>
      </w:pPr>
    </w:p>
    <w:p>
      <w:pPr>
        <w:spacing w:before="12"/>
      </w:pPr>
    </w:p>
    <w:p>
      <w:pPr>
        <w:spacing w:before="12"/>
      </w:pPr>
    </w:p>
    <w:p>
      <w:pPr>
        <w:spacing w:before="11"/>
      </w:pPr>
    </w:p>
    <w:tbl>
      <w:tblPr>
        <w:tblStyle w:val="5"/>
        <w:tblW w:w="14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780"/>
        <w:gridCol w:w="4543"/>
        <w:gridCol w:w="4783"/>
        <w:gridCol w:w="510"/>
        <w:gridCol w:w="1469"/>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5" w:type="dxa"/>
            <w:vAlign w:val="top"/>
          </w:tcPr>
          <w:p>
            <w:pPr>
              <w:spacing w:before="188" w:line="231" w:lineRule="auto"/>
              <w:ind w:left="128"/>
              <w:rPr>
                <w:rFonts w:ascii="黑体" w:hAnsi="黑体" w:eastAsia="黑体" w:cs="黑体"/>
                <w:sz w:val="20"/>
                <w:szCs w:val="20"/>
              </w:rPr>
            </w:pPr>
            <w:r>
              <w:rPr>
                <w:rFonts w:ascii="黑体" w:hAnsi="黑体" w:eastAsia="黑体" w:cs="黑体"/>
                <w:spacing w:val="4"/>
                <w:sz w:val="20"/>
                <w:szCs w:val="20"/>
              </w:rPr>
              <w:t>序号</w:t>
            </w:r>
          </w:p>
        </w:tc>
        <w:tc>
          <w:tcPr>
            <w:tcW w:w="780" w:type="dxa"/>
            <w:vAlign w:val="top"/>
          </w:tcPr>
          <w:p>
            <w:pPr>
              <w:spacing w:before="49" w:line="235" w:lineRule="auto"/>
              <w:ind w:left="183" w:right="18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43" w:type="dxa"/>
            <w:vAlign w:val="top"/>
          </w:tcPr>
          <w:p>
            <w:pPr>
              <w:spacing w:before="188" w:line="231" w:lineRule="auto"/>
              <w:ind w:left="1852"/>
              <w:rPr>
                <w:rFonts w:ascii="黑体" w:hAnsi="黑体" w:eastAsia="黑体" w:cs="黑体"/>
                <w:sz w:val="20"/>
                <w:szCs w:val="20"/>
              </w:rPr>
            </w:pPr>
            <w:r>
              <w:rPr>
                <w:rFonts w:ascii="黑体" w:hAnsi="黑体" w:eastAsia="黑体" w:cs="黑体"/>
                <w:spacing w:val="7"/>
                <w:sz w:val="20"/>
                <w:szCs w:val="20"/>
              </w:rPr>
              <w:t>核查内容</w:t>
            </w:r>
          </w:p>
        </w:tc>
        <w:tc>
          <w:tcPr>
            <w:tcW w:w="5293" w:type="dxa"/>
            <w:gridSpan w:val="2"/>
            <w:vAlign w:val="top"/>
          </w:tcPr>
          <w:p>
            <w:pPr>
              <w:spacing w:before="188" w:line="230" w:lineRule="auto"/>
              <w:ind w:left="2230"/>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88" w:line="230" w:lineRule="auto"/>
              <w:ind w:left="320"/>
              <w:rPr>
                <w:rFonts w:ascii="黑体" w:hAnsi="黑体" w:eastAsia="黑体" w:cs="黑体"/>
                <w:sz w:val="20"/>
                <w:szCs w:val="20"/>
              </w:rPr>
            </w:pPr>
            <w:r>
              <w:rPr>
                <w:rFonts w:ascii="黑体" w:hAnsi="黑体" w:eastAsia="黑体" w:cs="黑体"/>
                <w:spacing w:val="7"/>
                <w:sz w:val="20"/>
                <w:szCs w:val="20"/>
              </w:rPr>
              <w:t>核查记录</w:t>
            </w:r>
          </w:p>
        </w:tc>
        <w:tc>
          <w:tcPr>
            <w:tcW w:w="1639" w:type="dxa"/>
            <w:vAlign w:val="top"/>
          </w:tcPr>
          <w:p>
            <w:pPr>
              <w:spacing w:before="188" w:line="231" w:lineRule="auto"/>
              <w:ind w:left="402"/>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5" w:type="dxa"/>
            <w:vMerge w:val="restart"/>
            <w:tcBorders>
              <w:bottom w:val="nil"/>
            </w:tcBorders>
            <w:vAlign w:val="top"/>
          </w:tcPr>
          <w:p>
            <w:pPr>
              <w:rPr>
                <w:rFonts w:ascii="Arial"/>
                <w:sz w:val="21"/>
              </w:rPr>
            </w:pPr>
          </w:p>
        </w:tc>
        <w:tc>
          <w:tcPr>
            <w:tcW w:w="780" w:type="dxa"/>
            <w:vMerge w:val="restart"/>
            <w:tcBorders>
              <w:bottom w:val="nil"/>
            </w:tcBorders>
            <w:vAlign w:val="top"/>
          </w:tcPr>
          <w:p>
            <w:pPr>
              <w:rPr>
                <w:rFonts w:ascii="Arial"/>
                <w:sz w:val="21"/>
              </w:rPr>
            </w:pPr>
          </w:p>
        </w:tc>
        <w:tc>
          <w:tcPr>
            <w:tcW w:w="4543" w:type="dxa"/>
            <w:vAlign w:val="top"/>
          </w:tcPr>
          <w:p>
            <w:pPr>
              <w:pStyle w:val="6"/>
              <w:spacing w:before="47" w:line="234" w:lineRule="auto"/>
              <w:ind w:left="128" w:right="106" w:hanging="8"/>
            </w:pPr>
            <w:r>
              <w:rPr>
                <w:spacing w:val="5"/>
              </w:rPr>
              <w:t xml:space="preserve">销售日期以及购货者名称、地址、联系方式等信 </w:t>
            </w:r>
            <w:r>
              <w:rPr>
                <w:spacing w:val="7"/>
              </w:rPr>
              <w:t>息，保存相关记录和凭证。</w:t>
            </w:r>
          </w:p>
        </w:tc>
        <w:tc>
          <w:tcPr>
            <w:tcW w:w="4783" w:type="dxa"/>
            <w:vAlign w:val="top"/>
          </w:tcPr>
          <w:p>
            <w:pPr>
              <w:rPr>
                <w:rFonts w:ascii="Arial"/>
                <w:sz w:val="21"/>
              </w:rPr>
            </w:pPr>
          </w:p>
        </w:tc>
        <w:tc>
          <w:tcPr>
            <w:tcW w:w="510" w:type="dxa"/>
            <w:vAlign w:val="top"/>
          </w:tcPr>
          <w:p>
            <w:pPr>
              <w:rPr>
                <w:rFonts w:ascii="Arial"/>
                <w:sz w:val="21"/>
              </w:rPr>
            </w:pP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spacing w:line="304" w:lineRule="auto"/>
              <w:rPr>
                <w:rFonts w:ascii="Arial"/>
                <w:sz w:val="21"/>
              </w:rPr>
            </w:pPr>
          </w:p>
          <w:p>
            <w:pPr>
              <w:spacing w:line="305" w:lineRule="auto"/>
              <w:rPr>
                <w:rFonts w:ascii="Arial"/>
                <w:sz w:val="21"/>
              </w:rPr>
            </w:pPr>
          </w:p>
          <w:p>
            <w:pPr>
              <w:pStyle w:val="6"/>
              <w:spacing w:before="65" w:line="248" w:lineRule="auto"/>
              <w:ind w:left="116" w:right="106" w:hanging="8"/>
              <w:jc w:val="both"/>
            </w:pPr>
            <w:r>
              <w:rPr>
                <w:rFonts w:ascii="Times New Roman" w:hAnsi="Times New Roman" w:eastAsia="Times New Roman" w:cs="Times New Roman"/>
                <w:spacing w:val="16"/>
              </w:rPr>
              <w:t>2.</w:t>
            </w:r>
            <w:r>
              <w:rPr>
                <w:rFonts w:ascii="Times New Roman" w:hAnsi="Times New Roman" w:eastAsia="Times New Roman" w:cs="Times New Roman"/>
                <w:spacing w:val="-15"/>
              </w:rPr>
              <w:t xml:space="preserve"> </w:t>
            </w:r>
            <w:r>
              <w:rPr>
                <w:spacing w:val="16"/>
              </w:rPr>
              <w:t>应当建立并执行检验方法和检验能力定期比</w:t>
            </w:r>
            <w:r>
              <w:t xml:space="preserve"> </w:t>
            </w:r>
            <w:r>
              <w:rPr>
                <w:spacing w:val="5"/>
              </w:rPr>
              <w:t>对或者验证要求，确保非标准方法的准确性和检</w:t>
            </w:r>
            <w:r>
              <w:rPr>
                <w:spacing w:val="8"/>
              </w:rPr>
              <w:t xml:space="preserve"> </w:t>
            </w:r>
            <w:r>
              <w:rPr>
                <w:spacing w:val="6"/>
              </w:rPr>
              <w:t>验能力的符合性。</w:t>
            </w:r>
          </w:p>
        </w:tc>
        <w:tc>
          <w:tcPr>
            <w:tcW w:w="4783" w:type="dxa"/>
            <w:vAlign w:val="top"/>
          </w:tcPr>
          <w:p>
            <w:pPr>
              <w:pStyle w:val="6"/>
              <w:spacing w:before="77"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5" w:line="229" w:lineRule="auto"/>
              <w:ind w:left="118"/>
            </w:pPr>
            <w:r>
              <w:rPr>
                <w:spacing w:val="7"/>
              </w:rPr>
              <w:t>制度内容或执行略有不足。</w:t>
            </w:r>
          </w:p>
        </w:tc>
        <w:tc>
          <w:tcPr>
            <w:tcW w:w="510" w:type="dxa"/>
            <w:vAlign w:val="top"/>
          </w:tcPr>
          <w:p>
            <w:pPr>
              <w:spacing w:before="111"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46" w:line="243" w:lineRule="auto"/>
              <w:ind w:left="117" w:right="104" w:firstLine="11"/>
            </w:pPr>
            <w:r>
              <w:rPr>
                <w:rFonts w:ascii="Times New Roman" w:hAnsi="Times New Roman" w:eastAsia="Times New Roman" w:cs="Times New Roman"/>
                <w:spacing w:val="8"/>
              </w:rPr>
              <w:t>1.</w:t>
            </w:r>
            <w:r>
              <w:rPr>
                <w:spacing w:val="8"/>
              </w:rPr>
              <w:t>使用未经比对、验证的非国标检验方法开展原辅</w:t>
            </w:r>
            <w:r>
              <w:rPr>
                <w:spacing w:val="10"/>
              </w:rPr>
              <w:t xml:space="preserve"> </w:t>
            </w:r>
            <w:r>
              <w:rPr>
                <w:spacing w:val="7"/>
              </w:rPr>
              <w:t>料验收或成品出厂检验。</w:t>
            </w:r>
          </w:p>
          <w:p>
            <w:pPr>
              <w:pStyle w:val="6"/>
              <w:spacing w:before="32" w:line="244" w:lineRule="auto"/>
              <w:ind w:left="141" w:right="104" w:hanging="33"/>
            </w:pPr>
            <w:r>
              <w:rPr>
                <w:rFonts w:ascii="Times New Roman" w:hAnsi="Times New Roman" w:eastAsia="Times New Roman" w:cs="Times New Roman"/>
                <w:spacing w:val="7"/>
              </w:rPr>
              <w:t>2.</w:t>
            </w:r>
            <w:r>
              <w:rPr>
                <w:rFonts w:ascii="Times New Roman" w:hAnsi="Times New Roman" w:eastAsia="Times New Roman" w:cs="Times New Roman"/>
                <w:spacing w:val="3"/>
              </w:rPr>
              <w:t xml:space="preserve"> </w:t>
            </w:r>
            <w:r>
              <w:rPr>
                <w:spacing w:val="7"/>
              </w:rPr>
              <w:t>出厂检验能力严重不足，或未定期开展检验能力</w:t>
            </w:r>
            <w:r>
              <w:t xml:space="preserve"> 比对工作。</w:t>
            </w:r>
          </w:p>
          <w:p>
            <w:pPr>
              <w:pStyle w:val="6"/>
              <w:spacing w:before="30" w:line="211" w:lineRule="auto"/>
              <w:ind w:left="112"/>
            </w:pPr>
            <w:r>
              <w:rPr>
                <w:rFonts w:ascii="Times New Roman" w:hAnsi="Times New Roman" w:eastAsia="Times New Roman" w:cs="Times New Roman"/>
                <w:spacing w:val="8"/>
              </w:rPr>
              <w:t>3.</w:t>
            </w:r>
            <w:r>
              <w:rPr>
                <w:spacing w:val="8"/>
              </w:rPr>
              <w:t>其他制度内容或执行严重不足的情形。</w:t>
            </w:r>
          </w:p>
        </w:tc>
        <w:tc>
          <w:tcPr>
            <w:tcW w:w="510" w:type="dxa"/>
            <w:vAlign w:val="top"/>
          </w:tcPr>
          <w:p>
            <w:pPr>
              <w:spacing w:line="290" w:lineRule="auto"/>
              <w:rPr>
                <w:rFonts w:ascii="Arial"/>
                <w:sz w:val="21"/>
              </w:rPr>
            </w:pPr>
          </w:p>
          <w:p>
            <w:pPr>
              <w:spacing w:line="291" w:lineRule="auto"/>
              <w:rPr>
                <w:rFonts w:ascii="Arial"/>
                <w:sz w:val="21"/>
              </w:rPr>
            </w:pPr>
          </w:p>
          <w:p>
            <w:pPr>
              <w:spacing w:before="5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442"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780" w:type="dxa"/>
            <w:vMerge w:val="restart"/>
            <w:tcBorders>
              <w:bottom w:val="nil"/>
            </w:tcBorders>
            <w:vAlign w:val="top"/>
          </w:tcPr>
          <w:p>
            <w:pPr>
              <w:pStyle w:val="6"/>
              <w:spacing w:before="47" w:line="227" w:lineRule="auto"/>
              <w:ind w:left="184"/>
            </w:pPr>
            <w:r>
              <w:rPr>
                <w:spacing w:val="4"/>
              </w:rPr>
              <w:t>运输</w:t>
            </w:r>
          </w:p>
          <w:p>
            <w:pPr>
              <w:pStyle w:val="6"/>
              <w:spacing w:before="35" w:line="226" w:lineRule="auto"/>
              <w:ind w:left="188"/>
            </w:pPr>
            <w:r>
              <w:rPr>
                <w:spacing w:val="2"/>
              </w:rPr>
              <w:t>和交</w:t>
            </w:r>
          </w:p>
          <w:p>
            <w:pPr>
              <w:pStyle w:val="6"/>
              <w:spacing w:before="35" w:line="227" w:lineRule="auto"/>
              <w:ind w:left="193"/>
            </w:pPr>
            <w:r>
              <w:rPr>
                <w:spacing w:val="-1"/>
              </w:rPr>
              <w:t>付管</w:t>
            </w:r>
          </w:p>
          <w:p>
            <w:pPr>
              <w:pStyle w:val="6"/>
              <w:spacing w:before="32" w:line="209" w:lineRule="auto"/>
              <w:ind w:left="289"/>
            </w:pPr>
            <w:r>
              <w:t>理</w:t>
            </w:r>
          </w:p>
        </w:tc>
        <w:tc>
          <w:tcPr>
            <w:tcW w:w="4543" w:type="dxa"/>
            <w:vMerge w:val="restart"/>
            <w:tcBorders>
              <w:bottom w:val="nil"/>
            </w:tcBorders>
            <w:vAlign w:val="top"/>
          </w:tcPr>
          <w:p>
            <w:pPr>
              <w:pStyle w:val="6"/>
              <w:spacing w:before="48" w:line="246" w:lineRule="auto"/>
              <w:ind w:left="117" w:right="106"/>
              <w:jc w:val="both"/>
            </w:pPr>
            <w:r>
              <w:rPr>
                <w:spacing w:val="5"/>
              </w:rPr>
              <w:t>应当建立并执行运输和交付管理制度，规定根据 产品特点、贮存要求、运输条件选择适宜的运输</w:t>
            </w:r>
            <w:r>
              <w:rPr>
                <w:spacing w:val="7"/>
              </w:rPr>
              <w:t xml:space="preserve"> </w:t>
            </w:r>
            <w:r>
              <w:rPr>
                <w:spacing w:val="5"/>
              </w:rPr>
              <w:t xml:space="preserve">方式，并做好交付记录。委托运输的，应当对受 </w:t>
            </w:r>
            <w:r>
              <w:rPr>
                <w:spacing w:val="8"/>
              </w:rPr>
              <w:t>托方的食品安全保障能力进行审核。</w:t>
            </w:r>
          </w:p>
        </w:tc>
        <w:tc>
          <w:tcPr>
            <w:tcW w:w="4783" w:type="dxa"/>
            <w:vAlign w:val="top"/>
          </w:tcPr>
          <w:p>
            <w:pPr>
              <w:pStyle w:val="6"/>
              <w:spacing w:before="78"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8" w:line="229" w:lineRule="auto"/>
              <w:ind w:left="118"/>
            </w:pPr>
            <w:r>
              <w:rPr>
                <w:spacing w:val="7"/>
              </w:rPr>
              <w:t>制度内容或执行略有不足。</w:t>
            </w:r>
          </w:p>
        </w:tc>
        <w:tc>
          <w:tcPr>
            <w:tcW w:w="510" w:type="dxa"/>
            <w:vAlign w:val="top"/>
          </w:tcPr>
          <w:p>
            <w:pPr>
              <w:spacing w:before="114"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117" w:line="229" w:lineRule="auto"/>
              <w:ind w:left="118"/>
            </w:pPr>
            <w:r>
              <w:rPr>
                <w:spacing w:val="7"/>
              </w:rPr>
              <w:t>制度内容或执行严重不足。</w:t>
            </w:r>
          </w:p>
        </w:tc>
        <w:tc>
          <w:tcPr>
            <w:tcW w:w="510" w:type="dxa"/>
            <w:vAlign w:val="top"/>
          </w:tcPr>
          <w:p>
            <w:pPr>
              <w:spacing w:before="153"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446" w:lineRule="auto"/>
              <w:rPr>
                <w:rFonts w:ascii="Arial"/>
                <w:sz w:val="21"/>
              </w:rPr>
            </w:pPr>
          </w:p>
          <w:p>
            <w:pPr>
              <w:spacing w:before="58" w:line="192"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780" w:type="dxa"/>
            <w:vMerge w:val="restart"/>
            <w:tcBorders>
              <w:bottom w:val="nil"/>
            </w:tcBorders>
            <w:vAlign w:val="top"/>
          </w:tcPr>
          <w:p>
            <w:pPr>
              <w:pStyle w:val="6"/>
              <w:spacing w:before="49" w:line="246" w:lineRule="auto"/>
              <w:ind w:left="184" w:right="181" w:firstLine="2"/>
              <w:jc w:val="both"/>
            </w:pPr>
            <w:r>
              <w:rPr>
                <w:spacing w:val="3"/>
              </w:rPr>
              <w:t>食品</w:t>
            </w:r>
            <w:r>
              <w:t xml:space="preserve"> </w:t>
            </w:r>
            <w:r>
              <w:rPr>
                <w:spacing w:val="4"/>
              </w:rPr>
              <w:t>安全</w:t>
            </w:r>
            <w:r>
              <w:t xml:space="preserve"> </w:t>
            </w:r>
            <w:r>
              <w:rPr>
                <w:spacing w:val="4"/>
              </w:rPr>
              <w:t>追溯</w:t>
            </w:r>
            <w:r>
              <w:t xml:space="preserve"> </w:t>
            </w:r>
            <w:r>
              <w:rPr>
                <w:spacing w:val="4"/>
              </w:rPr>
              <w:t>管理</w:t>
            </w:r>
          </w:p>
        </w:tc>
        <w:tc>
          <w:tcPr>
            <w:tcW w:w="4543" w:type="dxa"/>
            <w:vMerge w:val="restart"/>
            <w:tcBorders>
              <w:bottom w:val="nil"/>
            </w:tcBorders>
            <w:vAlign w:val="top"/>
          </w:tcPr>
          <w:p>
            <w:pPr>
              <w:pStyle w:val="6"/>
              <w:spacing w:before="187" w:line="250" w:lineRule="auto"/>
              <w:ind w:left="117" w:right="106"/>
              <w:jc w:val="both"/>
            </w:pPr>
            <w:r>
              <w:rPr>
                <w:spacing w:val="5"/>
              </w:rPr>
              <w:t>应当建立并执行食品安全追溯管理体系，记录并</w:t>
            </w:r>
            <w:r>
              <w:rPr>
                <w:spacing w:val="7"/>
              </w:rPr>
              <w:t xml:space="preserve"> </w:t>
            </w:r>
            <w:r>
              <w:rPr>
                <w:spacing w:val="5"/>
              </w:rPr>
              <w:t>保存法律、法规及标准等规定的信息，保证产品</w:t>
            </w:r>
            <w:r>
              <w:rPr>
                <w:spacing w:val="6"/>
              </w:rPr>
              <w:t xml:space="preserve"> </w:t>
            </w:r>
            <w:r>
              <w:rPr>
                <w:spacing w:val="3"/>
              </w:rPr>
              <w:t>可追溯。</w:t>
            </w:r>
          </w:p>
        </w:tc>
        <w:tc>
          <w:tcPr>
            <w:tcW w:w="4783" w:type="dxa"/>
            <w:vAlign w:val="top"/>
          </w:tcPr>
          <w:p>
            <w:pPr>
              <w:pStyle w:val="6"/>
              <w:spacing w:before="79" w:line="229" w:lineRule="auto"/>
              <w:ind w:left="122"/>
            </w:pPr>
            <w:r>
              <w:rPr>
                <w:spacing w:val="5"/>
              </w:rPr>
              <w:t>符合规定要求。</w:t>
            </w:r>
          </w:p>
        </w:tc>
        <w:tc>
          <w:tcPr>
            <w:tcW w:w="510" w:type="dxa"/>
            <w:vAlign w:val="top"/>
          </w:tcPr>
          <w:p>
            <w:pPr>
              <w:spacing w:before="115"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7" w:line="229" w:lineRule="auto"/>
              <w:ind w:left="129"/>
            </w:pPr>
            <w:r>
              <w:rPr>
                <w:spacing w:val="6"/>
              </w:rPr>
              <w:t>管理体系或执行略有不足。</w:t>
            </w:r>
          </w:p>
        </w:tc>
        <w:tc>
          <w:tcPr>
            <w:tcW w:w="510" w:type="dxa"/>
            <w:vAlign w:val="top"/>
          </w:tcPr>
          <w:p>
            <w:pPr>
              <w:spacing w:before="113"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119" w:line="229" w:lineRule="auto"/>
              <w:ind w:left="118"/>
            </w:pPr>
            <w:r>
              <w:rPr>
                <w:spacing w:val="7"/>
              </w:rPr>
              <w:t>制度内容或执行严重不足。</w:t>
            </w:r>
          </w:p>
        </w:tc>
        <w:tc>
          <w:tcPr>
            <w:tcW w:w="510" w:type="dxa"/>
            <w:vAlign w:val="top"/>
          </w:tcPr>
          <w:p>
            <w:pPr>
              <w:spacing w:before="154"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780" w:type="dxa"/>
            <w:vMerge w:val="restart"/>
            <w:tcBorders>
              <w:bottom w:val="nil"/>
            </w:tcBorders>
            <w:vAlign w:val="top"/>
          </w:tcPr>
          <w:p>
            <w:pPr>
              <w:spacing w:line="262" w:lineRule="auto"/>
              <w:rPr>
                <w:rFonts w:ascii="Arial"/>
                <w:sz w:val="21"/>
              </w:rPr>
            </w:pPr>
          </w:p>
          <w:p>
            <w:pPr>
              <w:pStyle w:val="6"/>
              <w:spacing w:before="65" w:line="249" w:lineRule="auto"/>
              <w:ind w:left="188" w:right="181" w:hanging="1"/>
              <w:jc w:val="both"/>
            </w:pPr>
            <w:r>
              <w:rPr>
                <w:spacing w:val="3"/>
              </w:rPr>
              <w:t>食品</w:t>
            </w:r>
            <w:r>
              <w:t xml:space="preserve"> </w:t>
            </w:r>
            <w:r>
              <w:rPr>
                <w:spacing w:val="2"/>
              </w:rPr>
              <w:t>安全</w:t>
            </w:r>
            <w:r>
              <w:t xml:space="preserve"> </w:t>
            </w:r>
            <w:r>
              <w:rPr>
                <w:spacing w:val="2"/>
              </w:rPr>
              <w:t>自查</w:t>
            </w:r>
          </w:p>
        </w:tc>
        <w:tc>
          <w:tcPr>
            <w:tcW w:w="4543" w:type="dxa"/>
            <w:vMerge w:val="restart"/>
            <w:tcBorders>
              <w:bottom w:val="nil"/>
            </w:tcBorders>
            <w:vAlign w:val="top"/>
          </w:tcPr>
          <w:p>
            <w:pPr>
              <w:pStyle w:val="6"/>
              <w:spacing w:before="50" w:line="248" w:lineRule="auto"/>
              <w:ind w:left="117" w:right="106"/>
              <w:jc w:val="both"/>
            </w:pPr>
            <w:r>
              <w:rPr>
                <w:spacing w:val="5"/>
              </w:rPr>
              <w:t>应当建立并执行食品安全自查制度，规定对食品</w:t>
            </w:r>
            <w:r>
              <w:rPr>
                <w:spacing w:val="7"/>
              </w:rPr>
              <w:t xml:space="preserve"> </w:t>
            </w:r>
            <w:r>
              <w:rPr>
                <w:spacing w:val="5"/>
              </w:rPr>
              <w:t>添加剂安全状况定期进行检查评价，并根据评价</w:t>
            </w:r>
            <w:r>
              <w:rPr>
                <w:spacing w:val="7"/>
              </w:rPr>
              <w:t xml:space="preserve"> </w:t>
            </w:r>
            <w:r>
              <w:rPr>
                <w:spacing w:val="5"/>
              </w:rPr>
              <w:t>结果采取相应的处理措施。有发生食品安全事故</w:t>
            </w:r>
            <w:r>
              <w:rPr>
                <w:spacing w:val="7"/>
              </w:rPr>
              <w:t xml:space="preserve"> </w:t>
            </w:r>
            <w:r>
              <w:rPr>
                <w:spacing w:val="15"/>
              </w:rPr>
              <w:t>潜在风险的，应当立即停止食品添加剂生产活</w:t>
            </w:r>
            <w:r>
              <w:rPr>
                <w:spacing w:val="12"/>
              </w:rPr>
              <w:t xml:space="preserve"> </w:t>
            </w:r>
            <w:r>
              <w:rPr>
                <w:spacing w:val="8"/>
              </w:rPr>
              <w:t>动，并向所在地县级市场监督管理部门报告。</w:t>
            </w:r>
          </w:p>
        </w:tc>
        <w:tc>
          <w:tcPr>
            <w:tcW w:w="4783" w:type="dxa"/>
            <w:vAlign w:val="top"/>
          </w:tcPr>
          <w:p>
            <w:pPr>
              <w:pStyle w:val="6"/>
              <w:spacing w:before="77"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8" w:line="229" w:lineRule="auto"/>
              <w:ind w:left="118"/>
            </w:pPr>
            <w:r>
              <w:rPr>
                <w:spacing w:val="7"/>
              </w:rPr>
              <w:t>制度内容或执行略有不足。</w:t>
            </w:r>
          </w:p>
        </w:tc>
        <w:tc>
          <w:tcPr>
            <w:tcW w:w="510" w:type="dxa"/>
            <w:vAlign w:val="top"/>
          </w:tcPr>
          <w:p>
            <w:pPr>
              <w:spacing w:before="113"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258" w:line="229" w:lineRule="auto"/>
              <w:ind w:left="118"/>
            </w:pPr>
            <w:r>
              <w:rPr>
                <w:spacing w:val="7"/>
              </w:rPr>
              <w:t>制度内容或执行严重不足。</w:t>
            </w:r>
          </w:p>
        </w:tc>
        <w:tc>
          <w:tcPr>
            <w:tcW w:w="510" w:type="dxa"/>
            <w:vAlign w:val="top"/>
          </w:tcPr>
          <w:p>
            <w:pPr>
              <w:spacing w:before="294"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7" w:line="192"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780" w:type="dxa"/>
            <w:vMerge w:val="restart"/>
            <w:tcBorders>
              <w:bottom w:val="nil"/>
            </w:tcBorders>
            <w:vAlign w:val="top"/>
          </w:tcPr>
          <w:p>
            <w:pPr>
              <w:pStyle w:val="6"/>
              <w:spacing w:before="52" w:line="250" w:lineRule="auto"/>
              <w:ind w:left="181" w:right="181" w:firstLine="6"/>
              <w:jc w:val="both"/>
            </w:pPr>
            <w:r>
              <w:rPr>
                <w:spacing w:val="2"/>
              </w:rPr>
              <w:t>不合</w:t>
            </w:r>
            <w:r>
              <w:t xml:space="preserve"> </w:t>
            </w:r>
            <w:r>
              <w:rPr>
                <w:spacing w:val="6"/>
              </w:rPr>
              <w:t>格品</w:t>
            </w:r>
            <w:r>
              <w:t xml:space="preserve"> </w:t>
            </w:r>
            <w:r>
              <w:rPr>
                <w:spacing w:val="6"/>
              </w:rPr>
              <w:t>管理</w:t>
            </w:r>
            <w:r>
              <w:t xml:space="preserve"> </w:t>
            </w:r>
            <w:r>
              <w:rPr>
                <w:spacing w:val="6"/>
              </w:rPr>
              <w:t>及不</w:t>
            </w:r>
            <w:r>
              <w:t xml:space="preserve"> </w:t>
            </w:r>
            <w:r>
              <w:rPr>
                <w:spacing w:val="6"/>
              </w:rPr>
              <w:t>安全</w:t>
            </w:r>
            <w:r>
              <w:t xml:space="preserve"> </w:t>
            </w:r>
            <w:r>
              <w:rPr>
                <w:spacing w:val="6"/>
              </w:rPr>
              <w:t>食品</w:t>
            </w:r>
          </w:p>
        </w:tc>
        <w:tc>
          <w:tcPr>
            <w:tcW w:w="4543" w:type="dxa"/>
            <w:vMerge w:val="restart"/>
            <w:tcBorders>
              <w:bottom w:val="nil"/>
            </w:tcBorders>
            <w:vAlign w:val="top"/>
          </w:tcPr>
          <w:p>
            <w:pPr>
              <w:pStyle w:val="6"/>
              <w:spacing w:before="47" w:line="250" w:lineRule="auto"/>
              <w:ind w:left="117" w:right="63"/>
              <w:jc w:val="both"/>
            </w:pPr>
            <w:r>
              <w:rPr>
                <w:spacing w:val="7"/>
              </w:rPr>
              <w:t>应当建立并执行不合格品管理制度，规定原料、</w:t>
            </w:r>
            <w:r>
              <w:rPr>
                <w:spacing w:val="9"/>
              </w:rPr>
              <w:t xml:space="preserve"> </w:t>
            </w:r>
            <w:r>
              <w:rPr>
                <w:spacing w:val="5"/>
              </w:rPr>
              <w:t>半成品、成品及食品相关产品中不合格品的管理</w:t>
            </w:r>
            <w:r>
              <w:rPr>
                <w:spacing w:val="6"/>
              </w:rPr>
              <w:t xml:space="preserve"> 要求和处置措施。</w:t>
            </w:r>
          </w:p>
          <w:p>
            <w:pPr>
              <w:pStyle w:val="6"/>
              <w:spacing w:before="27" w:line="243" w:lineRule="auto"/>
              <w:ind w:left="117" w:right="106"/>
              <w:jc w:val="both"/>
            </w:pPr>
            <w:r>
              <w:rPr>
                <w:spacing w:val="5"/>
              </w:rPr>
              <w:t>应当建立并执行不安全食品召回制度，规定停止 生产、通知相关生产经营者和消费者、召回和处</w:t>
            </w:r>
            <w:r>
              <w:rPr>
                <w:spacing w:val="6"/>
              </w:rPr>
              <w:t xml:space="preserve"> </w:t>
            </w:r>
            <w:r>
              <w:rPr>
                <w:spacing w:val="5"/>
              </w:rPr>
              <w:t>置不安全食品添加剂的相关要求，记录召回和通</w:t>
            </w:r>
          </w:p>
        </w:tc>
        <w:tc>
          <w:tcPr>
            <w:tcW w:w="4783" w:type="dxa"/>
            <w:vAlign w:val="top"/>
          </w:tcPr>
          <w:p>
            <w:pPr>
              <w:pStyle w:val="6"/>
              <w:spacing w:before="80" w:line="229" w:lineRule="auto"/>
              <w:ind w:left="122"/>
            </w:pPr>
            <w:r>
              <w:rPr>
                <w:spacing w:val="5"/>
              </w:rPr>
              <w:t>符合规定要求。</w:t>
            </w:r>
          </w:p>
        </w:tc>
        <w:tc>
          <w:tcPr>
            <w:tcW w:w="510" w:type="dxa"/>
            <w:vAlign w:val="top"/>
          </w:tcPr>
          <w:p>
            <w:pPr>
              <w:spacing w:before="115"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80" w:line="229" w:lineRule="auto"/>
              <w:ind w:left="118"/>
            </w:pPr>
            <w:r>
              <w:rPr>
                <w:spacing w:val="7"/>
              </w:rPr>
              <w:t>制度内容或执行略有不足。</w:t>
            </w:r>
          </w:p>
        </w:tc>
        <w:tc>
          <w:tcPr>
            <w:tcW w:w="510" w:type="dxa"/>
            <w:vAlign w:val="top"/>
          </w:tcPr>
          <w:p>
            <w:pPr>
              <w:spacing w:before="116"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spacing w:line="333" w:lineRule="auto"/>
              <w:rPr>
                <w:rFonts w:ascii="Arial"/>
                <w:sz w:val="21"/>
              </w:rPr>
            </w:pPr>
          </w:p>
          <w:p>
            <w:pPr>
              <w:pStyle w:val="6"/>
              <w:spacing w:before="65" w:line="229" w:lineRule="auto"/>
              <w:ind w:left="118"/>
            </w:pPr>
            <w:r>
              <w:rPr>
                <w:spacing w:val="7"/>
              </w:rPr>
              <w:t>制度内容或执行严重不足。</w:t>
            </w:r>
          </w:p>
        </w:tc>
        <w:tc>
          <w:tcPr>
            <w:tcW w:w="510" w:type="dxa"/>
            <w:vAlign w:val="top"/>
          </w:tcPr>
          <w:p>
            <w:pPr>
              <w:spacing w:line="375"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4" w:type="default"/>
          <w:pgSz w:w="15840" w:h="12240"/>
          <w:pgMar w:top="1040" w:right="407" w:bottom="897" w:left="1038" w:header="0" w:footer="723" w:gutter="0"/>
          <w:cols w:space="720" w:num="1"/>
        </w:sectPr>
      </w:pPr>
    </w:p>
    <w:p>
      <w:pPr>
        <w:spacing w:before="12"/>
      </w:pPr>
    </w:p>
    <w:p>
      <w:pPr>
        <w:spacing w:before="12"/>
      </w:pPr>
    </w:p>
    <w:p>
      <w:pPr>
        <w:spacing w:before="11"/>
      </w:pPr>
    </w:p>
    <w:tbl>
      <w:tblPr>
        <w:tblStyle w:val="5"/>
        <w:tblW w:w="14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780"/>
        <w:gridCol w:w="4543"/>
        <w:gridCol w:w="4783"/>
        <w:gridCol w:w="510"/>
        <w:gridCol w:w="1469"/>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5" w:type="dxa"/>
            <w:vAlign w:val="top"/>
          </w:tcPr>
          <w:p>
            <w:pPr>
              <w:spacing w:before="188" w:line="231" w:lineRule="auto"/>
              <w:ind w:left="128"/>
              <w:rPr>
                <w:rFonts w:ascii="黑体" w:hAnsi="黑体" w:eastAsia="黑体" w:cs="黑体"/>
                <w:sz w:val="20"/>
                <w:szCs w:val="20"/>
              </w:rPr>
            </w:pPr>
            <w:r>
              <w:rPr>
                <w:rFonts w:ascii="黑体" w:hAnsi="黑体" w:eastAsia="黑体" w:cs="黑体"/>
                <w:spacing w:val="4"/>
                <w:sz w:val="20"/>
                <w:szCs w:val="20"/>
              </w:rPr>
              <w:t>序号</w:t>
            </w:r>
          </w:p>
        </w:tc>
        <w:tc>
          <w:tcPr>
            <w:tcW w:w="780" w:type="dxa"/>
            <w:vAlign w:val="top"/>
          </w:tcPr>
          <w:p>
            <w:pPr>
              <w:spacing w:before="49" w:line="235" w:lineRule="auto"/>
              <w:ind w:left="183" w:right="18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43" w:type="dxa"/>
            <w:vAlign w:val="top"/>
          </w:tcPr>
          <w:p>
            <w:pPr>
              <w:spacing w:before="188" w:line="231" w:lineRule="auto"/>
              <w:ind w:left="1852"/>
              <w:rPr>
                <w:rFonts w:ascii="黑体" w:hAnsi="黑体" w:eastAsia="黑体" w:cs="黑体"/>
                <w:sz w:val="20"/>
                <w:szCs w:val="20"/>
              </w:rPr>
            </w:pPr>
            <w:r>
              <w:rPr>
                <w:rFonts w:ascii="黑体" w:hAnsi="黑体" w:eastAsia="黑体" w:cs="黑体"/>
                <w:spacing w:val="7"/>
                <w:sz w:val="20"/>
                <w:szCs w:val="20"/>
              </w:rPr>
              <w:t>核查内容</w:t>
            </w:r>
          </w:p>
        </w:tc>
        <w:tc>
          <w:tcPr>
            <w:tcW w:w="5293" w:type="dxa"/>
            <w:gridSpan w:val="2"/>
            <w:vAlign w:val="top"/>
          </w:tcPr>
          <w:p>
            <w:pPr>
              <w:spacing w:before="188" w:line="230" w:lineRule="auto"/>
              <w:ind w:left="2230"/>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88" w:line="230" w:lineRule="auto"/>
              <w:ind w:left="320"/>
              <w:rPr>
                <w:rFonts w:ascii="黑体" w:hAnsi="黑体" w:eastAsia="黑体" w:cs="黑体"/>
                <w:sz w:val="20"/>
                <w:szCs w:val="20"/>
              </w:rPr>
            </w:pPr>
            <w:r>
              <w:rPr>
                <w:rFonts w:ascii="黑体" w:hAnsi="黑体" w:eastAsia="黑体" w:cs="黑体"/>
                <w:spacing w:val="7"/>
                <w:sz w:val="20"/>
                <w:szCs w:val="20"/>
              </w:rPr>
              <w:t>核查记录</w:t>
            </w:r>
          </w:p>
        </w:tc>
        <w:tc>
          <w:tcPr>
            <w:tcW w:w="1639" w:type="dxa"/>
            <w:vAlign w:val="top"/>
          </w:tcPr>
          <w:p>
            <w:pPr>
              <w:spacing w:before="188" w:line="231" w:lineRule="auto"/>
              <w:ind w:left="402"/>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Align w:val="top"/>
          </w:tcPr>
          <w:p>
            <w:pPr>
              <w:rPr>
                <w:rFonts w:ascii="Arial"/>
                <w:sz w:val="21"/>
              </w:rPr>
            </w:pPr>
          </w:p>
        </w:tc>
        <w:tc>
          <w:tcPr>
            <w:tcW w:w="780" w:type="dxa"/>
            <w:vAlign w:val="top"/>
          </w:tcPr>
          <w:p>
            <w:pPr>
              <w:pStyle w:val="6"/>
              <w:spacing w:before="47" w:line="230" w:lineRule="auto"/>
              <w:ind w:left="186"/>
            </w:pPr>
            <w:r>
              <w:rPr>
                <w:spacing w:val="3"/>
              </w:rPr>
              <w:t>召回</w:t>
            </w:r>
          </w:p>
        </w:tc>
        <w:tc>
          <w:tcPr>
            <w:tcW w:w="4543" w:type="dxa"/>
            <w:vAlign w:val="top"/>
          </w:tcPr>
          <w:p>
            <w:pPr>
              <w:pStyle w:val="6"/>
              <w:spacing w:before="46" w:line="231" w:lineRule="auto"/>
              <w:ind w:left="119"/>
            </w:pPr>
            <w:r>
              <w:rPr>
                <w:spacing w:val="3"/>
              </w:rPr>
              <w:t>知情况。</w:t>
            </w:r>
          </w:p>
        </w:tc>
        <w:tc>
          <w:tcPr>
            <w:tcW w:w="4783" w:type="dxa"/>
            <w:vAlign w:val="top"/>
          </w:tcPr>
          <w:p>
            <w:pPr>
              <w:rPr>
                <w:rFonts w:ascii="Arial"/>
                <w:sz w:val="21"/>
              </w:rPr>
            </w:pPr>
          </w:p>
        </w:tc>
        <w:tc>
          <w:tcPr>
            <w:tcW w:w="510" w:type="dxa"/>
            <w:vAlign w:val="top"/>
          </w:tcPr>
          <w:p>
            <w:pPr>
              <w:rPr>
                <w:rFonts w:ascii="Arial"/>
                <w:sz w:val="21"/>
              </w:rPr>
            </w:pP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p>
        </w:tc>
        <w:tc>
          <w:tcPr>
            <w:tcW w:w="780" w:type="dxa"/>
            <w:vMerge w:val="restart"/>
            <w:tcBorders>
              <w:bottom w:val="nil"/>
            </w:tcBorders>
            <w:textDirection w:val="tbRlV"/>
            <w:vAlign w:val="top"/>
          </w:tcPr>
          <w:p>
            <w:pPr>
              <w:pStyle w:val="6"/>
              <w:spacing w:before="287" w:line="164" w:lineRule="auto"/>
              <w:ind w:left="1765"/>
            </w:pPr>
            <w:r>
              <w:rPr>
                <w:spacing w:val="12"/>
              </w:rPr>
              <w:t>食</w:t>
            </w:r>
            <w:r>
              <w:rPr>
                <w:spacing w:val="-21"/>
              </w:rPr>
              <w:t xml:space="preserve"> </w:t>
            </w:r>
            <w:r>
              <w:rPr>
                <w:spacing w:val="12"/>
              </w:rPr>
              <w:t>品</w:t>
            </w:r>
            <w:r>
              <w:rPr>
                <w:spacing w:val="-36"/>
              </w:rPr>
              <w:t xml:space="preserve"> </w:t>
            </w:r>
            <w:r>
              <w:rPr>
                <w:spacing w:val="12"/>
              </w:rPr>
              <w:t>添</w:t>
            </w:r>
            <w:r>
              <w:rPr>
                <w:spacing w:val="-33"/>
              </w:rPr>
              <w:t xml:space="preserve"> </w:t>
            </w:r>
            <w:r>
              <w:rPr>
                <w:spacing w:val="12"/>
              </w:rPr>
              <w:t>加</w:t>
            </w:r>
            <w:r>
              <w:rPr>
                <w:spacing w:val="-33"/>
              </w:rPr>
              <w:t xml:space="preserve"> </w:t>
            </w:r>
            <w:r>
              <w:rPr>
                <w:spacing w:val="12"/>
              </w:rPr>
              <w:t>剂</w:t>
            </w:r>
            <w:r>
              <w:rPr>
                <w:spacing w:val="-35"/>
              </w:rPr>
              <w:t xml:space="preserve"> </w:t>
            </w:r>
            <w:r>
              <w:rPr>
                <w:spacing w:val="12"/>
              </w:rPr>
              <w:t>标</w:t>
            </w:r>
            <w:r>
              <w:rPr>
                <w:spacing w:val="-33"/>
              </w:rPr>
              <w:t xml:space="preserve"> </w:t>
            </w:r>
            <w:r>
              <w:rPr>
                <w:spacing w:val="12"/>
              </w:rPr>
              <w:t>签</w:t>
            </w:r>
            <w:r>
              <w:rPr>
                <w:spacing w:val="-25"/>
              </w:rPr>
              <w:t xml:space="preserve"> </w:t>
            </w:r>
            <w:r>
              <w:rPr>
                <w:spacing w:val="12"/>
                <w:position w:val="-6"/>
              </w:rPr>
              <w:t>、</w:t>
            </w:r>
            <w:r>
              <w:rPr>
                <w:spacing w:val="-30"/>
                <w:position w:val="-6"/>
              </w:rPr>
              <w:t xml:space="preserve"> </w:t>
            </w:r>
            <w:r>
              <w:rPr>
                <w:spacing w:val="12"/>
              </w:rPr>
              <w:t>说</w:t>
            </w:r>
            <w:r>
              <w:rPr>
                <w:spacing w:val="-33"/>
              </w:rPr>
              <w:t xml:space="preserve"> </w:t>
            </w:r>
            <w:r>
              <w:rPr>
                <w:spacing w:val="12"/>
              </w:rPr>
              <w:t>明</w:t>
            </w:r>
            <w:r>
              <w:rPr>
                <w:spacing w:val="-33"/>
              </w:rPr>
              <w:t xml:space="preserve"> </w:t>
            </w:r>
            <w:r>
              <w:rPr>
                <w:spacing w:val="12"/>
              </w:rPr>
              <w:t>书</w:t>
            </w:r>
            <w:r>
              <w:rPr>
                <w:spacing w:val="-35"/>
              </w:rPr>
              <w:t xml:space="preserve"> </w:t>
            </w:r>
            <w:r>
              <w:rPr>
                <w:spacing w:val="12"/>
              </w:rPr>
              <w:t>管</w:t>
            </w:r>
            <w:r>
              <w:rPr>
                <w:spacing w:val="-33"/>
              </w:rPr>
              <w:t xml:space="preserve"> </w:t>
            </w:r>
            <w:r>
              <w:rPr>
                <w:spacing w:val="12"/>
              </w:rPr>
              <w:t>理</w:t>
            </w:r>
            <w:r>
              <w:rPr>
                <w:spacing w:val="-33"/>
              </w:rPr>
              <w:t xml:space="preserve"> </w:t>
            </w:r>
            <w:r>
              <w:rPr>
                <w:spacing w:val="12"/>
              </w:rPr>
              <w:t>制</w:t>
            </w:r>
            <w:r>
              <w:rPr>
                <w:spacing w:val="-35"/>
              </w:rPr>
              <w:t xml:space="preserve"> </w:t>
            </w:r>
            <w:r>
              <w:rPr>
                <w:spacing w:val="12"/>
              </w:rPr>
              <w:t>度</w:t>
            </w:r>
          </w:p>
        </w:tc>
        <w:tc>
          <w:tcPr>
            <w:tcW w:w="454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45" w:lineRule="auto"/>
              <w:ind w:left="122" w:right="106" w:hanging="5"/>
            </w:pPr>
            <w:r>
              <w:rPr>
                <w:spacing w:val="5"/>
              </w:rPr>
              <w:t>应当建立并执行标签和说明书管理制度，确保标</w:t>
            </w:r>
            <w:r>
              <w:rPr>
                <w:spacing w:val="7"/>
              </w:rPr>
              <w:t xml:space="preserve"> 签和说明书事项完整、真实。</w:t>
            </w:r>
          </w:p>
        </w:tc>
        <w:tc>
          <w:tcPr>
            <w:tcW w:w="4783" w:type="dxa"/>
            <w:vAlign w:val="top"/>
          </w:tcPr>
          <w:p>
            <w:pPr>
              <w:pStyle w:val="6"/>
              <w:spacing w:before="76" w:line="229" w:lineRule="auto"/>
              <w:ind w:left="122"/>
            </w:pPr>
            <w:r>
              <w:rPr>
                <w:spacing w:val="5"/>
              </w:rPr>
              <w:t>符合规定要求。</w:t>
            </w:r>
          </w:p>
        </w:tc>
        <w:tc>
          <w:tcPr>
            <w:tcW w:w="510" w:type="dxa"/>
            <w:vAlign w:val="top"/>
          </w:tcPr>
          <w:p>
            <w:pPr>
              <w:spacing w:before="111"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textDirection w:val="tbRlV"/>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44" w:line="244" w:lineRule="auto"/>
              <w:ind w:left="119" w:right="106" w:firstLine="8"/>
            </w:pPr>
            <w:r>
              <w:rPr>
                <w:rFonts w:ascii="Times New Roman" w:hAnsi="Times New Roman" w:eastAsia="Times New Roman" w:cs="Times New Roman"/>
                <w:spacing w:val="7"/>
              </w:rPr>
              <w:t>1.</w:t>
            </w:r>
            <w:r>
              <w:rPr>
                <w:rFonts w:ascii="Times New Roman" w:hAnsi="Times New Roman" w:eastAsia="Times New Roman" w:cs="Times New Roman"/>
                <w:spacing w:val="-20"/>
              </w:rPr>
              <w:t xml:space="preserve"> </w:t>
            </w:r>
            <w:r>
              <w:rPr>
                <w:spacing w:val="7"/>
              </w:rPr>
              <w:t>复配食品添加剂名称命名不规范；带有误导、虚</w:t>
            </w:r>
            <w:r>
              <w:t xml:space="preserve"> </w:t>
            </w:r>
            <w:r>
              <w:rPr>
                <w:spacing w:val="5"/>
              </w:rPr>
              <w:t>假宣传性质。</w:t>
            </w:r>
          </w:p>
          <w:p>
            <w:pPr>
              <w:pStyle w:val="6"/>
              <w:spacing w:before="33" w:line="245" w:lineRule="auto"/>
              <w:ind w:left="119" w:right="341" w:hanging="11"/>
            </w:pPr>
            <w:r>
              <w:rPr>
                <w:rFonts w:ascii="Times New Roman" w:hAnsi="Times New Roman" w:eastAsia="Times New Roman" w:cs="Times New Roman"/>
                <w:spacing w:val="8"/>
              </w:rPr>
              <w:t>2.“</w:t>
            </w:r>
            <w:r>
              <w:rPr>
                <w:spacing w:val="8"/>
              </w:rPr>
              <w:t>使用范围</w:t>
            </w:r>
            <w:r>
              <w:rPr>
                <w:rFonts w:ascii="Times New Roman" w:hAnsi="Times New Roman" w:eastAsia="Times New Roman" w:cs="Times New Roman"/>
                <w:spacing w:val="8"/>
              </w:rPr>
              <w:t>”</w:t>
            </w:r>
            <w:r>
              <w:rPr>
                <w:spacing w:val="8"/>
              </w:rPr>
              <w:t>未按规定标示到具体食品类别或细</w:t>
            </w:r>
            <w:r>
              <w:rPr>
                <w:spacing w:val="15"/>
              </w:rPr>
              <w:t xml:space="preserve"> </w:t>
            </w:r>
            <w:r>
              <w:rPr>
                <w:spacing w:val="-4"/>
              </w:rPr>
              <w:t>类。</w:t>
            </w:r>
          </w:p>
          <w:p>
            <w:pPr>
              <w:pStyle w:val="6"/>
              <w:spacing w:before="28" w:line="253" w:lineRule="auto"/>
              <w:ind w:left="107" w:right="86" w:firstLine="5"/>
              <w:jc w:val="both"/>
            </w:pPr>
            <w:r>
              <w:rPr>
                <w:rFonts w:ascii="Times New Roman" w:hAnsi="Times New Roman" w:eastAsia="Times New Roman" w:cs="Times New Roman"/>
                <w:spacing w:val="9"/>
              </w:rPr>
              <w:t>3.</w:t>
            </w:r>
            <w:r>
              <w:rPr>
                <w:spacing w:val="9"/>
              </w:rPr>
              <w:t>未准确标示所执行的食品安全国家标准的标准代</w:t>
            </w:r>
            <w:r>
              <w:rPr>
                <w:spacing w:val="3"/>
              </w:rPr>
              <w:t xml:space="preserve"> </w:t>
            </w:r>
            <w:r>
              <w:rPr>
                <w:spacing w:val="6"/>
              </w:rPr>
              <w:t>号和顺序号、</w:t>
            </w:r>
            <w:r>
              <w:rPr>
                <w:spacing w:val="-49"/>
              </w:rPr>
              <w:t xml:space="preserve"> </w:t>
            </w:r>
            <w:r>
              <w:rPr>
                <w:spacing w:val="6"/>
              </w:rPr>
              <w:t>国务院卫生行政部门相关公告字号。</w:t>
            </w:r>
            <w:r>
              <w:t xml:space="preserve"> </w:t>
            </w:r>
            <w:r>
              <w:rPr>
                <w:rFonts w:ascii="Times New Roman" w:hAnsi="Times New Roman" w:eastAsia="Times New Roman" w:cs="Times New Roman"/>
                <w:spacing w:val="7"/>
              </w:rPr>
              <w:t>4.</w:t>
            </w:r>
            <w:r>
              <w:rPr>
                <w:rFonts w:ascii="Times New Roman" w:hAnsi="Times New Roman" w:eastAsia="Times New Roman" w:cs="Times New Roman"/>
                <w:spacing w:val="4"/>
              </w:rPr>
              <w:t xml:space="preserve"> </w:t>
            </w:r>
            <w:r>
              <w:rPr>
                <w:spacing w:val="7"/>
              </w:rPr>
              <w:t>以复配食品添加剂配方中某种成分含量与市场上</w:t>
            </w:r>
            <w:r>
              <w:t xml:space="preserve"> </w:t>
            </w:r>
            <w:r>
              <w:rPr>
                <w:spacing w:val="17"/>
              </w:rPr>
              <w:t>销售的各类食品中的相应成分含量进行比较声称</w:t>
            </w:r>
            <w:r>
              <w:rPr>
                <w:spacing w:val="5"/>
              </w:rPr>
              <w:t xml:space="preserve"> </w:t>
            </w:r>
            <w:r>
              <w:rPr>
                <w:spacing w:val="8"/>
              </w:rPr>
              <w:t>及宣传，误导消费者。</w:t>
            </w:r>
          </w:p>
          <w:p>
            <w:pPr>
              <w:pStyle w:val="6"/>
              <w:spacing w:before="28" w:line="235" w:lineRule="auto"/>
              <w:ind w:left="121" w:right="104" w:hanging="7"/>
            </w:pPr>
            <w:r>
              <w:rPr>
                <w:rFonts w:ascii="Times New Roman" w:hAnsi="Times New Roman" w:eastAsia="Times New Roman" w:cs="Times New Roman"/>
                <w:spacing w:val="4"/>
              </w:rPr>
              <w:t>5.</w:t>
            </w:r>
            <w:r>
              <w:rPr>
                <w:spacing w:val="4"/>
              </w:rPr>
              <w:t>其他不符合《食品安全国家标准 食品添加剂标识</w:t>
            </w:r>
            <w:r>
              <w:rPr>
                <w:spacing w:val="12"/>
              </w:rPr>
              <w:t xml:space="preserve"> </w:t>
            </w:r>
            <w:r>
              <w:rPr>
                <w:spacing w:val="6"/>
              </w:rPr>
              <w:t>通则》（</w:t>
            </w:r>
            <w:r>
              <w:rPr>
                <w:rFonts w:ascii="Times New Roman" w:hAnsi="Times New Roman" w:eastAsia="Times New Roman" w:cs="Times New Roman"/>
              </w:rPr>
              <w:t>GB</w:t>
            </w:r>
            <w:r>
              <w:rPr>
                <w:rFonts w:ascii="Times New Roman" w:hAnsi="Times New Roman" w:eastAsia="Times New Roman" w:cs="Times New Roman"/>
                <w:spacing w:val="6"/>
              </w:rPr>
              <w:t xml:space="preserve"> 29924</w:t>
            </w:r>
            <w:r>
              <w:rPr>
                <w:spacing w:val="6"/>
              </w:rPr>
              <w:t>）规定的。</w:t>
            </w:r>
          </w:p>
        </w:tc>
        <w:tc>
          <w:tcPr>
            <w:tcW w:w="510"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57"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665" w:type="dxa"/>
            <w:vMerge w:val="continue"/>
            <w:tcBorders>
              <w:top w:val="nil"/>
            </w:tcBorders>
            <w:vAlign w:val="top"/>
          </w:tcPr>
          <w:p>
            <w:pPr>
              <w:rPr>
                <w:rFonts w:ascii="Arial"/>
                <w:sz w:val="21"/>
              </w:rPr>
            </w:pPr>
          </w:p>
        </w:tc>
        <w:tc>
          <w:tcPr>
            <w:tcW w:w="780" w:type="dxa"/>
            <w:vMerge w:val="continue"/>
            <w:tcBorders>
              <w:top w:val="nil"/>
            </w:tcBorders>
            <w:textDirection w:val="tbRlV"/>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49" w:line="242" w:lineRule="auto"/>
              <w:ind w:left="119" w:right="185" w:firstLine="8"/>
            </w:pPr>
            <w:r>
              <w:rPr>
                <w:rFonts w:ascii="Times New Roman" w:hAnsi="Times New Roman" w:eastAsia="Times New Roman" w:cs="Times New Roman"/>
                <w:spacing w:val="7"/>
              </w:rPr>
              <w:t xml:space="preserve">1.   </w:t>
            </w:r>
            <w:r>
              <w:rPr>
                <w:spacing w:val="7"/>
              </w:rPr>
              <w:t>未清晰标示</w:t>
            </w:r>
            <w:r>
              <w:rPr>
                <w:rFonts w:ascii="Times New Roman" w:hAnsi="Times New Roman" w:eastAsia="Times New Roman" w:cs="Times New Roman"/>
                <w:spacing w:val="7"/>
              </w:rPr>
              <w:t>“</w:t>
            </w:r>
            <w:r>
              <w:rPr>
                <w:spacing w:val="7"/>
              </w:rPr>
              <w:t>食品添加剂</w:t>
            </w:r>
            <w:r>
              <w:rPr>
                <w:rFonts w:ascii="Times New Roman" w:hAnsi="Times New Roman" w:eastAsia="Times New Roman" w:cs="Times New Roman"/>
                <w:spacing w:val="7"/>
              </w:rPr>
              <w:t>”</w:t>
            </w:r>
            <w:r>
              <w:rPr>
                <w:spacing w:val="7"/>
              </w:rPr>
              <w:t>字样、面向市场销售</w:t>
            </w:r>
            <w:r>
              <w:rPr>
                <w:spacing w:val="3"/>
              </w:rPr>
              <w:t xml:space="preserve"> </w:t>
            </w:r>
            <w:r>
              <w:rPr>
                <w:spacing w:val="6"/>
              </w:rPr>
              <w:t>产品未注明</w:t>
            </w:r>
            <w:r>
              <w:rPr>
                <w:rFonts w:ascii="Times New Roman" w:hAnsi="Times New Roman" w:eastAsia="Times New Roman" w:cs="Times New Roman"/>
                <w:spacing w:val="6"/>
              </w:rPr>
              <w:t>“</w:t>
            </w:r>
            <w:r>
              <w:rPr>
                <w:spacing w:val="6"/>
              </w:rPr>
              <w:t>零售</w:t>
            </w:r>
            <w:r>
              <w:rPr>
                <w:rFonts w:ascii="Times New Roman" w:hAnsi="Times New Roman" w:eastAsia="Times New Roman" w:cs="Times New Roman"/>
                <w:spacing w:val="6"/>
              </w:rPr>
              <w:t>”</w:t>
            </w:r>
            <w:r>
              <w:rPr>
                <w:spacing w:val="6"/>
              </w:rPr>
              <w:t>字样。</w:t>
            </w:r>
          </w:p>
          <w:p>
            <w:pPr>
              <w:pStyle w:val="6"/>
              <w:spacing w:before="32" w:line="249" w:lineRule="auto"/>
              <w:ind w:left="117" w:right="106" w:hanging="9"/>
            </w:pPr>
            <w:r>
              <w:rPr>
                <w:rFonts w:ascii="Times New Roman" w:hAnsi="Times New Roman" w:eastAsia="Times New Roman" w:cs="Times New Roman"/>
                <w:spacing w:val="8"/>
              </w:rPr>
              <w:t xml:space="preserve">2.   </w:t>
            </w:r>
            <w:r>
              <w:rPr>
                <w:spacing w:val="8"/>
              </w:rPr>
              <w:t>进入市场销售和餐饮环节使用的复配食品添加</w:t>
            </w:r>
            <w:r>
              <w:rPr>
                <w:spacing w:val="4"/>
              </w:rPr>
              <w:t xml:space="preserve"> </w:t>
            </w:r>
            <w:r>
              <w:rPr>
                <w:spacing w:val="7"/>
              </w:rPr>
              <w:t>剂，未在配料表中标明各单一食品添加剂品种</w:t>
            </w:r>
            <w:r>
              <w:rPr>
                <w:spacing w:val="6"/>
              </w:rPr>
              <w:t>的名</w:t>
            </w:r>
            <w:r>
              <w:t xml:space="preserve"> </w:t>
            </w:r>
            <w:r>
              <w:rPr>
                <w:spacing w:val="4"/>
              </w:rPr>
              <w:t>称及含量。</w:t>
            </w:r>
          </w:p>
          <w:p>
            <w:pPr>
              <w:pStyle w:val="6"/>
              <w:spacing w:before="32" w:line="245" w:lineRule="auto"/>
              <w:ind w:left="118" w:right="164" w:hanging="6"/>
            </w:pPr>
            <w:r>
              <w:rPr>
                <w:rFonts w:ascii="Times New Roman" w:hAnsi="Times New Roman" w:eastAsia="Times New Roman" w:cs="Times New Roman"/>
                <w:spacing w:val="8"/>
              </w:rPr>
              <w:t xml:space="preserve">3.   </w:t>
            </w:r>
            <w:r>
              <w:rPr>
                <w:spacing w:val="8"/>
              </w:rPr>
              <w:t>使用范围超出参与复配的单一食品添加剂共同</w:t>
            </w:r>
            <w:r>
              <w:t xml:space="preserve"> </w:t>
            </w:r>
            <w:r>
              <w:rPr>
                <w:spacing w:val="4"/>
              </w:rPr>
              <w:t>使用范围。</w:t>
            </w:r>
          </w:p>
          <w:p>
            <w:pPr>
              <w:pStyle w:val="6"/>
              <w:spacing w:before="28" w:line="229" w:lineRule="auto"/>
              <w:ind w:left="107"/>
            </w:pPr>
            <w:r>
              <w:rPr>
                <w:rFonts w:ascii="Times New Roman" w:hAnsi="Times New Roman" w:eastAsia="Times New Roman" w:cs="Times New Roman"/>
                <w:spacing w:val="8"/>
              </w:rPr>
              <w:t>4.</w:t>
            </w:r>
            <w:r>
              <w:rPr>
                <w:rFonts w:ascii="Times New Roman" w:hAnsi="Times New Roman" w:eastAsia="Times New Roman" w:cs="Times New Roman"/>
                <w:spacing w:val="-17"/>
              </w:rPr>
              <w:t xml:space="preserve"> </w:t>
            </w:r>
            <w:r>
              <w:rPr>
                <w:spacing w:val="8"/>
              </w:rPr>
              <w:t>复配食品添加剂使用量标示单位与净含量不一</w:t>
            </w:r>
          </w:p>
          <w:p>
            <w:pPr>
              <w:pStyle w:val="6"/>
              <w:spacing w:before="29" w:line="254" w:lineRule="auto"/>
              <w:ind w:left="117" w:right="104" w:firstLine="2"/>
            </w:pPr>
            <w:r>
              <w:rPr>
                <w:spacing w:val="6"/>
              </w:rPr>
              <w:t>致；标示使用量对应的参与配方的单一食品添加剂</w:t>
            </w:r>
            <w:r>
              <w:rPr>
                <w:spacing w:val="17"/>
              </w:rPr>
              <w:t xml:space="preserve"> </w:t>
            </w:r>
            <w:r>
              <w:rPr>
                <w:spacing w:val="6"/>
              </w:rPr>
              <w:t>用量超出</w:t>
            </w:r>
            <w:r>
              <w:rPr>
                <w:spacing w:val="-37"/>
              </w:rPr>
              <w:t xml:space="preserve"> </w:t>
            </w:r>
            <w:r>
              <w:rPr>
                <w:rFonts w:ascii="Times New Roman" w:hAnsi="Times New Roman" w:eastAsia="Times New Roman" w:cs="Times New Roman"/>
              </w:rPr>
              <w:t>GB</w:t>
            </w:r>
            <w:r>
              <w:rPr>
                <w:rFonts w:ascii="Times New Roman" w:hAnsi="Times New Roman" w:eastAsia="Times New Roman" w:cs="Times New Roman"/>
                <w:spacing w:val="6"/>
              </w:rPr>
              <w:t>2760</w:t>
            </w:r>
            <w:r>
              <w:rPr>
                <w:rFonts w:ascii="Times New Roman" w:hAnsi="Times New Roman" w:eastAsia="Times New Roman" w:cs="Times New Roman"/>
                <w:spacing w:val="-17"/>
              </w:rPr>
              <w:t xml:space="preserve"> </w:t>
            </w: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14880</w:t>
            </w:r>
            <w:r>
              <w:rPr>
                <w:rFonts w:ascii="Times New Roman" w:hAnsi="Times New Roman" w:eastAsia="Times New Roman" w:cs="Times New Roman"/>
                <w:spacing w:val="17"/>
              </w:rPr>
              <w:t xml:space="preserve"> </w:t>
            </w:r>
            <w:r>
              <w:rPr>
                <w:spacing w:val="6"/>
              </w:rPr>
              <w:t>规定的最大使用</w:t>
            </w:r>
            <w:r>
              <w:rPr>
                <w:spacing w:val="5"/>
              </w:rPr>
              <w:t>量；</w:t>
            </w:r>
            <w:r>
              <w:t xml:space="preserve"> </w:t>
            </w:r>
            <w:r>
              <w:rPr>
                <w:spacing w:val="7"/>
              </w:rPr>
              <w:t>同一功能食品添加剂（同色泽着色剂、防腐剂、抗</w:t>
            </w:r>
            <w:r>
              <w:rPr>
                <w:spacing w:val="1"/>
              </w:rPr>
              <w:t xml:space="preserve"> </w:t>
            </w:r>
            <w:r>
              <w:rPr>
                <w:spacing w:val="7"/>
              </w:rPr>
              <w:t>氧化剂）各自用量占其最大使用量的比例之和</w:t>
            </w:r>
            <w:r>
              <w:rPr>
                <w:spacing w:val="6"/>
              </w:rPr>
              <w:t>应小</w:t>
            </w:r>
            <w:r>
              <w:t xml:space="preserve"> </w:t>
            </w:r>
            <w:r>
              <w:rPr>
                <w:spacing w:val="-9"/>
              </w:rPr>
              <w:t>于</w:t>
            </w:r>
            <w:r>
              <w:rPr>
                <w:spacing w:val="-22"/>
              </w:rPr>
              <w:t xml:space="preserve"> </w:t>
            </w:r>
            <w:r>
              <w:rPr>
                <w:rFonts w:ascii="Times New Roman" w:hAnsi="Times New Roman" w:eastAsia="Times New Roman" w:cs="Times New Roman"/>
                <w:spacing w:val="-9"/>
              </w:rPr>
              <w:t>1</w:t>
            </w:r>
            <w:r>
              <w:rPr>
                <w:spacing w:val="-9"/>
              </w:rPr>
              <w:t>。</w:t>
            </w:r>
          </w:p>
          <w:p>
            <w:pPr>
              <w:pStyle w:val="6"/>
              <w:spacing w:before="25" w:line="235" w:lineRule="auto"/>
              <w:ind w:left="121" w:right="144" w:hanging="7"/>
            </w:pPr>
            <w:r>
              <w:rPr>
                <w:rFonts w:ascii="Times New Roman" w:hAnsi="Times New Roman" w:eastAsia="Times New Roman" w:cs="Times New Roman"/>
                <w:spacing w:val="6"/>
              </w:rPr>
              <w:t>5.</w:t>
            </w:r>
            <w:r>
              <w:rPr>
                <w:rFonts w:ascii="Times New Roman" w:hAnsi="Times New Roman" w:eastAsia="Times New Roman" w:cs="Times New Roman"/>
                <w:spacing w:val="-20"/>
              </w:rPr>
              <w:t xml:space="preserve"> </w:t>
            </w:r>
            <w:r>
              <w:rPr>
                <w:spacing w:val="6"/>
              </w:rPr>
              <w:t>复配食品添加剂的标签、说明书涉及疾病预防、</w:t>
            </w:r>
            <w:r>
              <w:t xml:space="preserve"> </w:t>
            </w:r>
            <w:r>
              <w:rPr>
                <w:spacing w:val="7"/>
              </w:rPr>
              <w:t>治疗功能、每日摄入量。</w:t>
            </w:r>
          </w:p>
        </w:tc>
        <w:tc>
          <w:tcPr>
            <w:tcW w:w="51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5" w:type="default"/>
          <w:pgSz w:w="15840" w:h="12240"/>
          <w:pgMar w:top="1040" w:right="407" w:bottom="897" w:left="1038" w:header="0" w:footer="723" w:gutter="0"/>
          <w:cols w:space="720" w:num="1"/>
        </w:sectPr>
      </w:pPr>
    </w:p>
    <w:p>
      <w:pPr>
        <w:spacing w:before="12"/>
      </w:pPr>
    </w:p>
    <w:p>
      <w:pPr>
        <w:spacing w:before="12"/>
      </w:pPr>
    </w:p>
    <w:p>
      <w:pPr>
        <w:spacing w:before="11"/>
      </w:pPr>
    </w:p>
    <w:tbl>
      <w:tblPr>
        <w:tblStyle w:val="5"/>
        <w:tblW w:w="14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780"/>
        <w:gridCol w:w="4543"/>
        <w:gridCol w:w="4783"/>
        <w:gridCol w:w="510"/>
        <w:gridCol w:w="1469"/>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5" w:type="dxa"/>
            <w:vAlign w:val="top"/>
          </w:tcPr>
          <w:p>
            <w:pPr>
              <w:spacing w:before="188" w:line="231" w:lineRule="auto"/>
              <w:ind w:left="128"/>
              <w:rPr>
                <w:rFonts w:ascii="黑体" w:hAnsi="黑体" w:eastAsia="黑体" w:cs="黑体"/>
                <w:sz w:val="20"/>
                <w:szCs w:val="20"/>
              </w:rPr>
            </w:pPr>
            <w:r>
              <w:rPr>
                <w:rFonts w:ascii="黑体" w:hAnsi="黑体" w:eastAsia="黑体" w:cs="黑体"/>
                <w:spacing w:val="4"/>
                <w:sz w:val="20"/>
                <w:szCs w:val="20"/>
              </w:rPr>
              <w:t>序号</w:t>
            </w:r>
          </w:p>
        </w:tc>
        <w:tc>
          <w:tcPr>
            <w:tcW w:w="780" w:type="dxa"/>
            <w:vAlign w:val="top"/>
          </w:tcPr>
          <w:p>
            <w:pPr>
              <w:spacing w:before="49" w:line="235" w:lineRule="auto"/>
              <w:ind w:left="183" w:right="18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43" w:type="dxa"/>
            <w:vAlign w:val="top"/>
          </w:tcPr>
          <w:p>
            <w:pPr>
              <w:spacing w:before="188" w:line="231" w:lineRule="auto"/>
              <w:ind w:left="1852"/>
              <w:rPr>
                <w:rFonts w:ascii="黑体" w:hAnsi="黑体" w:eastAsia="黑体" w:cs="黑体"/>
                <w:sz w:val="20"/>
                <w:szCs w:val="20"/>
              </w:rPr>
            </w:pPr>
            <w:r>
              <w:rPr>
                <w:rFonts w:ascii="黑体" w:hAnsi="黑体" w:eastAsia="黑体" w:cs="黑体"/>
                <w:spacing w:val="7"/>
                <w:sz w:val="20"/>
                <w:szCs w:val="20"/>
              </w:rPr>
              <w:t>核查内容</w:t>
            </w:r>
          </w:p>
        </w:tc>
        <w:tc>
          <w:tcPr>
            <w:tcW w:w="5293" w:type="dxa"/>
            <w:gridSpan w:val="2"/>
            <w:vAlign w:val="top"/>
          </w:tcPr>
          <w:p>
            <w:pPr>
              <w:spacing w:before="188" w:line="230" w:lineRule="auto"/>
              <w:ind w:left="2230"/>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88" w:line="230" w:lineRule="auto"/>
              <w:ind w:left="320"/>
              <w:rPr>
                <w:rFonts w:ascii="黑体" w:hAnsi="黑体" w:eastAsia="黑体" w:cs="黑体"/>
                <w:sz w:val="20"/>
                <w:szCs w:val="20"/>
              </w:rPr>
            </w:pPr>
            <w:r>
              <w:rPr>
                <w:rFonts w:ascii="黑体" w:hAnsi="黑体" w:eastAsia="黑体" w:cs="黑体"/>
                <w:spacing w:val="7"/>
                <w:sz w:val="20"/>
                <w:szCs w:val="20"/>
              </w:rPr>
              <w:t>核查记录</w:t>
            </w:r>
          </w:p>
        </w:tc>
        <w:tc>
          <w:tcPr>
            <w:tcW w:w="1639" w:type="dxa"/>
            <w:vAlign w:val="top"/>
          </w:tcPr>
          <w:p>
            <w:pPr>
              <w:spacing w:before="188" w:line="231" w:lineRule="auto"/>
              <w:ind w:left="402"/>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65"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780"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5" w:lineRule="auto"/>
              <w:ind w:left="183"/>
            </w:pPr>
            <w:r>
              <w:rPr>
                <w:spacing w:val="4"/>
              </w:rPr>
              <w:t>其他</w:t>
            </w:r>
          </w:p>
        </w:tc>
        <w:tc>
          <w:tcPr>
            <w:tcW w:w="4543" w:type="dxa"/>
            <w:vMerge w:val="restart"/>
            <w:tcBorders>
              <w:bottom w:val="nil"/>
            </w:tcBorders>
            <w:vAlign w:val="top"/>
          </w:tcPr>
          <w:p>
            <w:pPr>
              <w:pStyle w:val="6"/>
              <w:spacing w:before="144" w:line="249" w:lineRule="auto"/>
              <w:ind w:left="118" w:right="106" w:firstLine="9"/>
              <w:jc w:val="both"/>
            </w:pPr>
            <w:r>
              <w:rPr>
                <w:rFonts w:ascii="Times New Roman" w:hAnsi="Times New Roman" w:eastAsia="Times New Roman" w:cs="Times New Roman"/>
                <w:spacing w:val="7"/>
              </w:rPr>
              <w:t>1.</w:t>
            </w:r>
            <w:r>
              <w:rPr>
                <w:spacing w:val="7"/>
              </w:rPr>
              <w:t>应当建立并执行日管控、周排查、月调</w:t>
            </w:r>
            <w:r>
              <w:rPr>
                <w:spacing w:val="6"/>
              </w:rPr>
              <w:t>度等风</w:t>
            </w:r>
            <w:r>
              <w:t xml:space="preserve"> </w:t>
            </w:r>
            <w:r>
              <w:rPr>
                <w:spacing w:val="5"/>
              </w:rPr>
              <w:t>险管控制度，收集、分析食品安全风险信息，评</w:t>
            </w:r>
            <w:r>
              <w:rPr>
                <w:spacing w:val="6"/>
              </w:rPr>
              <w:t xml:space="preserve"> </w:t>
            </w:r>
            <w:r>
              <w:rPr>
                <w:spacing w:val="7"/>
              </w:rPr>
              <w:t>价风险隐患并进行相应处置。</w:t>
            </w:r>
          </w:p>
        </w:tc>
        <w:tc>
          <w:tcPr>
            <w:tcW w:w="4783" w:type="dxa"/>
            <w:vAlign w:val="top"/>
          </w:tcPr>
          <w:p>
            <w:pPr>
              <w:pStyle w:val="6"/>
              <w:spacing w:before="75" w:line="229" w:lineRule="auto"/>
              <w:ind w:left="122"/>
            </w:pPr>
            <w:r>
              <w:rPr>
                <w:spacing w:val="5"/>
              </w:rPr>
              <w:t>符合规定要求。</w:t>
            </w:r>
          </w:p>
        </w:tc>
        <w:tc>
          <w:tcPr>
            <w:tcW w:w="510" w:type="dxa"/>
            <w:vAlign w:val="top"/>
          </w:tcPr>
          <w:p>
            <w:pPr>
              <w:spacing w:before="111"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7" w:line="229" w:lineRule="auto"/>
              <w:ind w:left="118"/>
            </w:pPr>
            <w:r>
              <w:rPr>
                <w:spacing w:val="7"/>
              </w:rPr>
              <w:t>制度内容或执行略有不足。</w:t>
            </w:r>
          </w:p>
        </w:tc>
        <w:tc>
          <w:tcPr>
            <w:tcW w:w="510" w:type="dxa"/>
            <w:vAlign w:val="top"/>
          </w:tcPr>
          <w:p>
            <w:pPr>
              <w:spacing w:before="112"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78" w:line="229" w:lineRule="auto"/>
              <w:ind w:left="118"/>
            </w:pPr>
            <w:r>
              <w:rPr>
                <w:spacing w:val="7"/>
              </w:rPr>
              <w:t>制度内容或执行严重不足。</w:t>
            </w:r>
          </w:p>
        </w:tc>
        <w:tc>
          <w:tcPr>
            <w:tcW w:w="510" w:type="dxa"/>
            <w:vAlign w:val="top"/>
          </w:tcPr>
          <w:p>
            <w:pPr>
              <w:spacing w:before="113"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150" w:line="247" w:lineRule="auto"/>
              <w:ind w:left="110" w:right="106" w:hanging="2"/>
              <w:jc w:val="both"/>
            </w:pPr>
            <w:r>
              <w:rPr>
                <w:rFonts w:ascii="Times New Roman" w:hAnsi="Times New Roman" w:eastAsia="Times New Roman" w:cs="Times New Roman"/>
                <w:spacing w:val="7"/>
              </w:rPr>
              <w:t>2.</w:t>
            </w:r>
            <w:r>
              <w:rPr>
                <w:spacing w:val="7"/>
              </w:rPr>
              <w:t>应当建立食品安全事故处置方案，规定食品安</w:t>
            </w:r>
            <w:r>
              <w:rPr>
                <w:spacing w:val="17"/>
              </w:rPr>
              <w:t xml:space="preserve"> </w:t>
            </w:r>
            <w:r>
              <w:rPr>
                <w:spacing w:val="16"/>
              </w:rPr>
              <w:t>全事故处置措施及向事故发生地县级市场监督</w:t>
            </w:r>
            <w:r>
              <w:t xml:space="preserve"> </w:t>
            </w:r>
            <w:r>
              <w:rPr>
                <w:spacing w:val="8"/>
              </w:rPr>
              <w:t>管理部门和卫生行政部门报告的要求。</w:t>
            </w:r>
          </w:p>
        </w:tc>
        <w:tc>
          <w:tcPr>
            <w:tcW w:w="4783" w:type="dxa"/>
            <w:vAlign w:val="top"/>
          </w:tcPr>
          <w:p>
            <w:pPr>
              <w:pStyle w:val="6"/>
              <w:spacing w:before="79" w:line="224" w:lineRule="auto"/>
              <w:ind w:left="117"/>
            </w:pPr>
            <w:r>
              <w:rPr>
                <w:spacing w:val="6"/>
              </w:rPr>
              <w:t>符合规定要求。</w:t>
            </w:r>
          </w:p>
        </w:tc>
        <w:tc>
          <w:tcPr>
            <w:tcW w:w="510" w:type="dxa"/>
            <w:vAlign w:val="top"/>
          </w:tcPr>
          <w:p>
            <w:pPr>
              <w:spacing w:before="114"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7" w:line="224" w:lineRule="auto"/>
              <w:ind w:left="115"/>
            </w:pPr>
            <w:r>
              <w:rPr>
                <w:spacing w:val="8"/>
              </w:rPr>
              <w:t>方案内容或执行略有不足。</w:t>
            </w:r>
          </w:p>
        </w:tc>
        <w:tc>
          <w:tcPr>
            <w:tcW w:w="510" w:type="dxa"/>
            <w:vAlign w:val="top"/>
          </w:tcPr>
          <w:p>
            <w:pPr>
              <w:spacing w:before="112"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77" w:line="224" w:lineRule="auto"/>
              <w:ind w:left="115"/>
            </w:pPr>
            <w:r>
              <w:rPr>
                <w:spacing w:val="8"/>
              </w:rPr>
              <w:t>方案内容或执行严重不足。</w:t>
            </w:r>
          </w:p>
        </w:tc>
        <w:tc>
          <w:tcPr>
            <w:tcW w:w="510" w:type="dxa"/>
            <w:vAlign w:val="top"/>
          </w:tcPr>
          <w:p>
            <w:pPr>
              <w:spacing w:before="112"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48" w:line="252" w:lineRule="auto"/>
              <w:ind w:left="121" w:right="106" w:hanging="9"/>
              <w:jc w:val="both"/>
            </w:pPr>
            <w:r>
              <w:rPr>
                <w:rFonts w:ascii="Times New Roman" w:hAnsi="Times New Roman" w:eastAsia="Times New Roman" w:cs="Times New Roman"/>
                <w:spacing w:val="7"/>
              </w:rPr>
              <w:t>3.</w:t>
            </w:r>
            <w:r>
              <w:rPr>
                <w:spacing w:val="7"/>
              </w:rPr>
              <w:t>应当建立并执行产品配方研发管理制度，确保</w:t>
            </w:r>
            <w:r>
              <w:rPr>
                <w:spacing w:val="13"/>
              </w:rPr>
              <w:t xml:space="preserve"> </w:t>
            </w:r>
            <w:r>
              <w:rPr>
                <w:spacing w:val="15"/>
              </w:rPr>
              <w:t>复配食品添加剂生产符合食品安全国家标准规</w:t>
            </w:r>
            <w:r>
              <w:rPr>
                <w:spacing w:val="8"/>
              </w:rPr>
              <w:t xml:space="preserve"> </w:t>
            </w:r>
            <w:r>
              <w:rPr>
                <w:spacing w:val="-5"/>
              </w:rPr>
              <w:t>定。</w:t>
            </w:r>
          </w:p>
          <w:p>
            <w:pPr>
              <w:pStyle w:val="6"/>
              <w:spacing w:before="20" w:line="252" w:lineRule="auto"/>
              <w:ind w:left="121" w:right="106" w:hanging="4"/>
              <w:jc w:val="both"/>
            </w:pPr>
            <w:r>
              <w:rPr>
                <w:spacing w:val="5"/>
              </w:rPr>
              <w:t>应当建立并执行产品配方管理制度。确保用于配</w:t>
            </w:r>
            <w:r>
              <w:rPr>
                <w:spacing w:val="7"/>
              </w:rPr>
              <w:t xml:space="preserve"> </w:t>
            </w:r>
            <w:r>
              <w:rPr>
                <w:spacing w:val="5"/>
              </w:rPr>
              <w:t>方的单一品种食品添加剂、食品原料及复配后产</w:t>
            </w:r>
            <w:r>
              <w:rPr>
                <w:spacing w:val="3"/>
              </w:rPr>
              <w:t xml:space="preserve"> </w:t>
            </w:r>
            <w:r>
              <w:rPr>
                <w:spacing w:val="5"/>
              </w:rPr>
              <w:t>品符合食品安全国家标准、国务院卫生行政部门</w:t>
            </w:r>
            <w:r>
              <w:rPr>
                <w:spacing w:val="3"/>
              </w:rPr>
              <w:t xml:space="preserve"> 公告规定。</w:t>
            </w:r>
          </w:p>
          <w:p>
            <w:pPr>
              <w:pStyle w:val="6"/>
              <w:spacing w:before="28" w:line="249" w:lineRule="auto"/>
              <w:ind w:left="119" w:right="106" w:hanging="2"/>
              <w:jc w:val="both"/>
            </w:pPr>
            <w:r>
              <w:rPr>
                <w:spacing w:val="5"/>
              </w:rPr>
              <w:t>应当建立并执行标准文本管理制度，对参与复配</w:t>
            </w:r>
            <w:r>
              <w:rPr>
                <w:spacing w:val="7"/>
              </w:rPr>
              <w:t xml:space="preserve"> </w:t>
            </w:r>
            <w:r>
              <w:rPr>
                <w:spacing w:val="5"/>
              </w:rPr>
              <w:t xml:space="preserve">的各单一品种食品添加剂、食品原料执行的食品 </w:t>
            </w:r>
            <w:r>
              <w:rPr>
                <w:spacing w:val="8"/>
              </w:rPr>
              <w:t>安全国家标准等进行有效管理，及时更新。</w:t>
            </w:r>
          </w:p>
          <w:p>
            <w:pPr>
              <w:pStyle w:val="6"/>
              <w:spacing w:before="29" w:line="229" w:lineRule="auto"/>
              <w:ind w:left="117"/>
            </w:pPr>
            <w:r>
              <w:rPr>
                <w:spacing w:val="8"/>
              </w:rPr>
              <w:t>应当建立并执行研发数据记录文件管理制度。</w:t>
            </w:r>
          </w:p>
          <w:p>
            <w:pPr>
              <w:pStyle w:val="6"/>
              <w:spacing w:before="32" w:line="245" w:lineRule="auto"/>
              <w:ind w:left="117" w:right="106"/>
            </w:pPr>
            <w:r>
              <w:rPr>
                <w:spacing w:val="15"/>
              </w:rPr>
              <w:t>应当建立并执行复配食品添加剂质量安全控制</w:t>
            </w:r>
            <w:r>
              <w:rPr>
                <w:spacing w:val="12"/>
              </w:rPr>
              <w:t xml:space="preserve"> </w:t>
            </w:r>
            <w:r>
              <w:rPr>
                <w:spacing w:val="1"/>
              </w:rPr>
              <w:t>制度。</w:t>
            </w:r>
          </w:p>
          <w:p>
            <w:pPr>
              <w:pStyle w:val="6"/>
              <w:spacing w:before="28" w:line="234" w:lineRule="auto"/>
              <w:ind w:left="118" w:right="109"/>
            </w:pPr>
            <w:r>
              <w:rPr>
                <w:spacing w:val="5"/>
              </w:rPr>
              <w:t>产品配方研发过程中产生的数据、文件应当妥善</w:t>
            </w:r>
            <w:r>
              <w:rPr>
                <w:spacing w:val="3"/>
              </w:rPr>
              <w:t xml:space="preserve"> </w:t>
            </w:r>
            <w:r>
              <w:rPr>
                <w:spacing w:val="6"/>
              </w:rPr>
              <w:t>保管，保留完整。</w:t>
            </w:r>
          </w:p>
        </w:tc>
        <w:tc>
          <w:tcPr>
            <w:tcW w:w="4783" w:type="dxa"/>
            <w:vAlign w:val="top"/>
          </w:tcPr>
          <w:p>
            <w:pPr>
              <w:pStyle w:val="6"/>
              <w:spacing w:before="77" w:line="229" w:lineRule="auto"/>
              <w:ind w:left="122"/>
            </w:pPr>
            <w:r>
              <w:rPr>
                <w:spacing w:val="5"/>
              </w:rPr>
              <w:t>符合规定要求。</w:t>
            </w:r>
          </w:p>
        </w:tc>
        <w:tc>
          <w:tcPr>
            <w:tcW w:w="510" w:type="dxa"/>
            <w:vAlign w:val="top"/>
          </w:tcPr>
          <w:p>
            <w:pPr>
              <w:spacing w:before="11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8" w:line="229" w:lineRule="auto"/>
              <w:ind w:left="118"/>
            </w:pPr>
            <w:r>
              <w:rPr>
                <w:spacing w:val="7"/>
              </w:rPr>
              <w:t>制度内容或执行略有不足。</w:t>
            </w:r>
          </w:p>
        </w:tc>
        <w:tc>
          <w:tcPr>
            <w:tcW w:w="510" w:type="dxa"/>
            <w:vAlign w:val="top"/>
          </w:tcPr>
          <w:p>
            <w:pPr>
              <w:spacing w:before="113"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3"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29" w:lineRule="auto"/>
              <w:ind w:left="118"/>
            </w:pPr>
            <w:r>
              <w:rPr>
                <w:spacing w:val="7"/>
              </w:rPr>
              <w:t>制度内容或执行严重不足。</w:t>
            </w:r>
          </w:p>
        </w:tc>
        <w:tc>
          <w:tcPr>
            <w:tcW w:w="510"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58"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148" w:line="250" w:lineRule="auto"/>
              <w:ind w:left="117" w:right="106" w:hanging="10"/>
              <w:jc w:val="both"/>
            </w:pPr>
            <w:r>
              <w:rPr>
                <w:rFonts w:ascii="Times New Roman" w:hAnsi="Times New Roman" w:eastAsia="Times New Roman" w:cs="Times New Roman"/>
                <w:spacing w:val="8"/>
              </w:rPr>
              <w:t>4.</w:t>
            </w:r>
            <w:r>
              <w:rPr>
                <w:spacing w:val="8"/>
              </w:rPr>
              <w:t>应当建立并执行文件、记录管理制度，</w:t>
            </w:r>
            <w:r>
              <w:rPr>
                <w:spacing w:val="7"/>
              </w:rPr>
              <w:t>确保文</w:t>
            </w:r>
            <w:r>
              <w:t xml:space="preserve"> </w:t>
            </w:r>
            <w:r>
              <w:rPr>
                <w:spacing w:val="5"/>
              </w:rPr>
              <w:t>件的有效使用以及各类记录的完整、真实、准确</w:t>
            </w:r>
            <w:r>
              <w:rPr>
                <w:spacing w:val="7"/>
              </w:rPr>
              <w:t xml:space="preserve"> </w:t>
            </w:r>
            <w:r>
              <w:rPr>
                <w:spacing w:val="4"/>
              </w:rPr>
              <w:t>和可追溯。</w:t>
            </w:r>
          </w:p>
        </w:tc>
        <w:tc>
          <w:tcPr>
            <w:tcW w:w="4783" w:type="dxa"/>
            <w:vAlign w:val="top"/>
          </w:tcPr>
          <w:p>
            <w:pPr>
              <w:pStyle w:val="6"/>
              <w:spacing w:before="79" w:line="229" w:lineRule="auto"/>
              <w:ind w:left="122"/>
            </w:pPr>
            <w:r>
              <w:rPr>
                <w:spacing w:val="5"/>
              </w:rPr>
              <w:t>符合规定要求。</w:t>
            </w:r>
          </w:p>
        </w:tc>
        <w:tc>
          <w:tcPr>
            <w:tcW w:w="510" w:type="dxa"/>
            <w:vAlign w:val="top"/>
          </w:tcPr>
          <w:p>
            <w:pPr>
              <w:spacing w:before="114"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bottom w:val="nil"/>
            </w:tcBorders>
            <w:vAlign w:val="top"/>
          </w:tcPr>
          <w:p>
            <w:pPr>
              <w:rPr>
                <w:rFonts w:ascii="Arial"/>
                <w:sz w:val="21"/>
              </w:rPr>
            </w:pPr>
          </w:p>
        </w:tc>
        <w:tc>
          <w:tcPr>
            <w:tcW w:w="4783" w:type="dxa"/>
            <w:vAlign w:val="top"/>
          </w:tcPr>
          <w:p>
            <w:pPr>
              <w:pStyle w:val="6"/>
              <w:spacing w:before="79" w:line="229" w:lineRule="auto"/>
              <w:ind w:left="118"/>
            </w:pPr>
            <w:r>
              <w:rPr>
                <w:spacing w:val="7"/>
              </w:rPr>
              <w:t>制度内容或执行略有不足。</w:t>
            </w:r>
          </w:p>
        </w:tc>
        <w:tc>
          <w:tcPr>
            <w:tcW w:w="510" w:type="dxa"/>
            <w:vAlign w:val="top"/>
          </w:tcPr>
          <w:p>
            <w:pPr>
              <w:spacing w:before="115"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80" w:line="229" w:lineRule="auto"/>
              <w:ind w:left="118"/>
            </w:pPr>
            <w:r>
              <w:rPr>
                <w:spacing w:val="7"/>
              </w:rPr>
              <w:t>制度内容或执行严重不足。</w:t>
            </w:r>
          </w:p>
        </w:tc>
        <w:tc>
          <w:tcPr>
            <w:tcW w:w="510" w:type="dxa"/>
            <w:vAlign w:val="top"/>
          </w:tcPr>
          <w:p>
            <w:pPr>
              <w:spacing w:before="115"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65" w:type="dxa"/>
            <w:vMerge w:val="continue"/>
            <w:tcBorders>
              <w:top w:val="nil"/>
              <w:bottom w:val="nil"/>
            </w:tcBorders>
            <w:vAlign w:val="top"/>
          </w:tcPr>
          <w:p>
            <w:pPr>
              <w:rPr>
                <w:rFonts w:ascii="Arial"/>
                <w:sz w:val="21"/>
              </w:rPr>
            </w:pPr>
          </w:p>
        </w:tc>
        <w:tc>
          <w:tcPr>
            <w:tcW w:w="780" w:type="dxa"/>
            <w:vMerge w:val="continue"/>
            <w:tcBorders>
              <w:top w:val="nil"/>
              <w:bottom w:val="nil"/>
            </w:tcBorders>
            <w:vAlign w:val="top"/>
          </w:tcPr>
          <w:p>
            <w:pPr>
              <w:rPr>
                <w:rFonts w:ascii="Arial"/>
                <w:sz w:val="21"/>
              </w:rPr>
            </w:pPr>
          </w:p>
        </w:tc>
        <w:tc>
          <w:tcPr>
            <w:tcW w:w="4543" w:type="dxa"/>
            <w:vMerge w:val="restart"/>
            <w:tcBorders>
              <w:bottom w:val="nil"/>
            </w:tcBorders>
            <w:vAlign w:val="top"/>
          </w:tcPr>
          <w:p>
            <w:pPr>
              <w:pStyle w:val="6"/>
              <w:spacing w:before="82" w:line="244" w:lineRule="auto"/>
              <w:ind w:left="116" w:right="106" w:hanging="3"/>
            </w:pPr>
            <w:r>
              <w:rPr>
                <w:rFonts w:ascii="Times New Roman" w:hAnsi="Times New Roman" w:eastAsia="Times New Roman" w:cs="Times New Roman"/>
                <w:spacing w:val="7"/>
              </w:rPr>
              <w:t>5.</w:t>
            </w:r>
            <w:r>
              <w:rPr>
                <w:spacing w:val="7"/>
              </w:rPr>
              <w:t>应当按照相关法律法规、食品安全国家标准等</w:t>
            </w:r>
            <w:r>
              <w:rPr>
                <w:spacing w:val="12"/>
              </w:rPr>
              <w:t xml:space="preserve"> </w:t>
            </w:r>
            <w:r>
              <w:rPr>
                <w:spacing w:val="9"/>
              </w:rPr>
              <w:t>规定，建立并执行其他保障食品安全的管理制</w:t>
            </w:r>
          </w:p>
        </w:tc>
        <w:tc>
          <w:tcPr>
            <w:tcW w:w="4783" w:type="dxa"/>
            <w:vAlign w:val="top"/>
          </w:tcPr>
          <w:p>
            <w:pPr>
              <w:pStyle w:val="6"/>
              <w:spacing w:before="63" w:line="221" w:lineRule="auto"/>
              <w:ind w:left="122"/>
            </w:pPr>
            <w:r>
              <w:rPr>
                <w:spacing w:val="5"/>
              </w:rPr>
              <w:t>符合规定要求。</w:t>
            </w:r>
          </w:p>
        </w:tc>
        <w:tc>
          <w:tcPr>
            <w:tcW w:w="510" w:type="dxa"/>
            <w:vAlign w:val="top"/>
          </w:tcPr>
          <w:p>
            <w:pPr>
              <w:spacing w:before="99"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69" w:type="dxa"/>
            <w:vAlign w:val="top"/>
          </w:tcPr>
          <w:p>
            <w:pPr>
              <w:rPr>
                <w:rFonts w:ascii="Arial"/>
                <w:sz w:val="21"/>
              </w:rPr>
            </w:pPr>
          </w:p>
        </w:tc>
        <w:tc>
          <w:tcPr>
            <w:tcW w:w="16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65" w:type="dxa"/>
            <w:vMerge w:val="continue"/>
            <w:tcBorders>
              <w:top w:val="nil"/>
            </w:tcBorders>
            <w:vAlign w:val="top"/>
          </w:tcPr>
          <w:p>
            <w:pPr>
              <w:rPr>
                <w:rFonts w:ascii="Arial"/>
                <w:sz w:val="21"/>
              </w:rPr>
            </w:pPr>
          </w:p>
        </w:tc>
        <w:tc>
          <w:tcPr>
            <w:tcW w:w="780" w:type="dxa"/>
            <w:vMerge w:val="continue"/>
            <w:tcBorders>
              <w:top w:val="nil"/>
            </w:tcBorders>
            <w:vAlign w:val="top"/>
          </w:tcPr>
          <w:p>
            <w:pPr>
              <w:rPr>
                <w:rFonts w:ascii="Arial"/>
                <w:sz w:val="21"/>
              </w:rPr>
            </w:pPr>
          </w:p>
        </w:tc>
        <w:tc>
          <w:tcPr>
            <w:tcW w:w="4543" w:type="dxa"/>
            <w:vMerge w:val="continue"/>
            <w:tcBorders>
              <w:top w:val="nil"/>
            </w:tcBorders>
            <w:vAlign w:val="top"/>
          </w:tcPr>
          <w:p>
            <w:pPr>
              <w:rPr>
                <w:rFonts w:ascii="Arial"/>
                <w:sz w:val="21"/>
              </w:rPr>
            </w:pPr>
          </w:p>
        </w:tc>
        <w:tc>
          <w:tcPr>
            <w:tcW w:w="4783" w:type="dxa"/>
            <w:vAlign w:val="top"/>
          </w:tcPr>
          <w:p>
            <w:pPr>
              <w:pStyle w:val="6"/>
              <w:spacing w:before="65" w:line="221" w:lineRule="auto"/>
              <w:ind w:left="118"/>
            </w:pPr>
            <w:r>
              <w:rPr>
                <w:spacing w:val="7"/>
              </w:rPr>
              <w:t>制度内容或执行略有不足。</w:t>
            </w:r>
          </w:p>
        </w:tc>
        <w:tc>
          <w:tcPr>
            <w:tcW w:w="510" w:type="dxa"/>
            <w:vAlign w:val="top"/>
          </w:tcPr>
          <w:p>
            <w:pPr>
              <w:spacing w:before="100"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69" w:type="dxa"/>
            <w:vAlign w:val="top"/>
          </w:tcPr>
          <w:p>
            <w:pPr>
              <w:rPr>
                <w:rFonts w:ascii="Arial"/>
                <w:sz w:val="21"/>
              </w:rPr>
            </w:pPr>
          </w:p>
        </w:tc>
        <w:tc>
          <w:tcPr>
            <w:tcW w:w="163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6" w:type="default"/>
          <w:pgSz w:w="15840" w:h="12240"/>
          <w:pgMar w:top="1040" w:right="407" w:bottom="897" w:left="1038" w:header="0" w:footer="723" w:gutter="0"/>
          <w:cols w:space="720" w:num="1"/>
        </w:sectPr>
      </w:pPr>
    </w:p>
    <w:p>
      <w:pPr>
        <w:spacing w:before="12"/>
      </w:pPr>
    </w:p>
    <w:p>
      <w:pPr>
        <w:spacing w:before="12"/>
      </w:pPr>
    </w:p>
    <w:p>
      <w:pPr>
        <w:spacing w:before="11"/>
      </w:pPr>
    </w:p>
    <w:tbl>
      <w:tblPr>
        <w:tblStyle w:val="5"/>
        <w:tblW w:w="14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780"/>
        <w:gridCol w:w="4543"/>
        <w:gridCol w:w="4783"/>
        <w:gridCol w:w="510"/>
        <w:gridCol w:w="1469"/>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65" w:type="dxa"/>
            <w:vAlign w:val="top"/>
          </w:tcPr>
          <w:p>
            <w:pPr>
              <w:spacing w:before="188" w:line="231" w:lineRule="auto"/>
              <w:ind w:left="128"/>
              <w:rPr>
                <w:rFonts w:ascii="黑体" w:hAnsi="黑体" w:eastAsia="黑体" w:cs="黑体"/>
                <w:sz w:val="20"/>
                <w:szCs w:val="20"/>
              </w:rPr>
            </w:pPr>
            <w:r>
              <w:rPr>
                <w:rFonts w:ascii="黑体" w:hAnsi="黑体" w:eastAsia="黑体" w:cs="黑体"/>
                <w:spacing w:val="4"/>
                <w:sz w:val="20"/>
                <w:szCs w:val="20"/>
              </w:rPr>
              <w:t>序号</w:t>
            </w:r>
          </w:p>
        </w:tc>
        <w:tc>
          <w:tcPr>
            <w:tcW w:w="780" w:type="dxa"/>
            <w:vAlign w:val="top"/>
          </w:tcPr>
          <w:p>
            <w:pPr>
              <w:spacing w:before="48" w:line="234" w:lineRule="auto"/>
              <w:ind w:left="183" w:right="181"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543" w:type="dxa"/>
            <w:vAlign w:val="top"/>
          </w:tcPr>
          <w:p>
            <w:pPr>
              <w:spacing w:before="188" w:line="231" w:lineRule="auto"/>
              <w:ind w:left="1852"/>
              <w:rPr>
                <w:rFonts w:ascii="黑体" w:hAnsi="黑体" w:eastAsia="黑体" w:cs="黑体"/>
                <w:sz w:val="20"/>
                <w:szCs w:val="20"/>
              </w:rPr>
            </w:pPr>
            <w:r>
              <w:rPr>
                <w:rFonts w:ascii="黑体" w:hAnsi="黑体" w:eastAsia="黑体" w:cs="黑体"/>
                <w:spacing w:val="7"/>
                <w:sz w:val="20"/>
                <w:szCs w:val="20"/>
              </w:rPr>
              <w:t>核查内容</w:t>
            </w:r>
          </w:p>
        </w:tc>
        <w:tc>
          <w:tcPr>
            <w:tcW w:w="5293" w:type="dxa"/>
            <w:gridSpan w:val="2"/>
            <w:vAlign w:val="top"/>
          </w:tcPr>
          <w:p>
            <w:pPr>
              <w:spacing w:before="188" w:line="230" w:lineRule="auto"/>
              <w:ind w:left="2230"/>
              <w:rPr>
                <w:rFonts w:ascii="黑体" w:hAnsi="黑体" w:eastAsia="黑体" w:cs="黑体"/>
                <w:sz w:val="20"/>
                <w:szCs w:val="20"/>
              </w:rPr>
            </w:pPr>
            <w:r>
              <w:rPr>
                <w:rFonts w:ascii="黑体" w:hAnsi="黑体" w:eastAsia="黑体" w:cs="黑体"/>
                <w:spacing w:val="7"/>
                <w:sz w:val="20"/>
                <w:szCs w:val="20"/>
              </w:rPr>
              <w:t>评分标准</w:t>
            </w:r>
          </w:p>
        </w:tc>
        <w:tc>
          <w:tcPr>
            <w:tcW w:w="1469" w:type="dxa"/>
            <w:vAlign w:val="top"/>
          </w:tcPr>
          <w:p>
            <w:pPr>
              <w:spacing w:before="188" w:line="230" w:lineRule="auto"/>
              <w:ind w:left="320"/>
              <w:rPr>
                <w:rFonts w:ascii="黑体" w:hAnsi="黑体" w:eastAsia="黑体" w:cs="黑体"/>
                <w:sz w:val="20"/>
                <w:szCs w:val="20"/>
              </w:rPr>
            </w:pPr>
            <w:r>
              <w:rPr>
                <w:rFonts w:ascii="黑体" w:hAnsi="黑体" w:eastAsia="黑体" w:cs="黑体"/>
                <w:spacing w:val="7"/>
                <w:sz w:val="20"/>
                <w:szCs w:val="20"/>
              </w:rPr>
              <w:t>核查记录</w:t>
            </w:r>
          </w:p>
        </w:tc>
        <w:tc>
          <w:tcPr>
            <w:tcW w:w="1639" w:type="dxa"/>
            <w:vAlign w:val="top"/>
          </w:tcPr>
          <w:p>
            <w:pPr>
              <w:spacing w:before="188" w:line="231" w:lineRule="auto"/>
              <w:ind w:left="402"/>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5" w:type="dxa"/>
            <w:vAlign w:val="top"/>
          </w:tcPr>
          <w:p>
            <w:pPr>
              <w:rPr>
                <w:rFonts w:ascii="Arial"/>
                <w:sz w:val="21"/>
              </w:rPr>
            </w:pPr>
          </w:p>
        </w:tc>
        <w:tc>
          <w:tcPr>
            <w:tcW w:w="780" w:type="dxa"/>
            <w:vAlign w:val="top"/>
          </w:tcPr>
          <w:p>
            <w:pPr>
              <w:rPr>
                <w:rFonts w:ascii="Arial"/>
                <w:sz w:val="21"/>
              </w:rPr>
            </w:pPr>
          </w:p>
        </w:tc>
        <w:tc>
          <w:tcPr>
            <w:tcW w:w="4543" w:type="dxa"/>
            <w:vAlign w:val="top"/>
          </w:tcPr>
          <w:p>
            <w:pPr>
              <w:pStyle w:val="6"/>
              <w:spacing w:before="48" w:line="232" w:lineRule="auto"/>
              <w:ind w:left="117"/>
            </w:pPr>
            <w:r>
              <w:rPr>
                <w:spacing w:val="-3"/>
              </w:rPr>
              <w:t>度。</w:t>
            </w:r>
          </w:p>
        </w:tc>
        <w:tc>
          <w:tcPr>
            <w:tcW w:w="4783" w:type="dxa"/>
            <w:vAlign w:val="top"/>
          </w:tcPr>
          <w:p>
            <w:pPr>
              <w:pStyle w:val="6"/>
              <w:spacing w:before="62" w:line="224" w:lineRule="auto"/>
              <w:ind w:left="118"/>
            </w:pPr>
            <w:r>
              <w:rPr>
                <w:spacing w:val="7"/>
              </w:rPr>
              <w:t>制度内容或执行严重不足。</w:t>
            </w:r>
          </w:p>
        </w:tc>
        <w:tc>
          <w:tcPr>
            <w:tcW w:w="510" w:type="dxa"/>
            <w:vAlign w:val="top"/>
          </w:tcPr>
          <w:p>
            <w:pPr>
              <w:spacing w:before="97" w:line="195" w:lineRule="auto"/>
              <w:ind w:left="20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69" w:type="dxa"/>
            <w:vAlign w:val="top"/>
          </w:tcPr>
          <w:p>
            <w:pPr>
              <w:rPr>
                <w:rFonts w:ascii="Arial"/>
                <w:sz w:val="21"/>
              </w:rPr>
            </w:pPr>
          </w:p>
        </w:tc>
        <w:tc>
          <w:tcPr>
            <w:tcW w:w="1639" w:type="dxa"/>
            <w:vAlign w:val="top"/>
          </w:tcPr>
          <w:p>
            <w:pPr>
              <w:rPr>
                <w:rFonts w:ascii="Arial"/>
                <w:sz w:val="21"/>
              </w:rPr>
            </w:pPr>
          </w:p>
        </w:tc>
      </w:tr>
    </w:tbl>
    <w:p>
      <w:pPr>
        <w:spacing w:before="286" w:line="226" w:lineRule="auto"/>
        <w:ind w:left="4504"/>
        <w:outlineLvl w:val="0"/>
        <w:rPr>
          <w:rFonts w:ascii="黑体" w:hAnsi="黑体" w:eastAsia="黑体" w:cs="黑体"/>
          <w:sz w:val="31"/>
          <w:szCs w:val="31"/>
        </w:rPr>
      </w:pPr>
      <w:r>
        <w:rPr>
          <w:rFonts w:ascii="黑体" w:hAnsi="黑体" w:eastAsia="黑体" w:cs="黑体"/>
          <w:spacing w:val="4"/>
          <w:sz w:val="31"/>
          <w:szCs w:val="31"/>
        </w:rPr>
        <w:t>六、试制产品检验合格报告（共</w:t>
      </w:r>
      <w:r>
        <w:rPr>
          <w:rFonts w:ascii="黑体" w:hAnsi="黑体" w:eastAsia="黑体" w:cs="黑体"/>
          <w:spacing w:val="-33"/>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23"/>
          <w:sz w:val="31"/>
          <w:szCs w:val="31"/>
        </w:rPr>
        <w:t xml:space="preserve"> </w:t>
      </w:r>
      <w:r>
        <w:rPr>
          <w:rFonts w:ascii="黑体" w:hAnsi="黑体" w:eastAsia="黑体" w:cs="黑体"/>
          <w:spacing w:val="4"/>
          <w:sz w:val="31"/>
          <w:szCs w:val="31"/>
        </w:rPr>
        <w:t>分）</w:t>
      </w:r>
    </w:p>
    <w:p>
      <w:pPr>
        <w:spacing w:line="94" w:lineRule="exact"/>
      </w:pPr>
    </w:p>
    <w:tbl>
      <w:tblPr>
        <w:tblStyle w:val="5"/>
        <w:tblW w:w="14395"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630"/>
        <w:gridCol w:w="4618"/>
        <w:gridCol w:w="4798"/>
        <w:gridCol w:w="525"/>
        <w:gridCol w:w="1454"/>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95" w:type="dxa"/>
            <w:vAlign w:val="top"/>
          </w:tcPr>
          <w:p>
            <w:pPr>
              <w:spacing w:before="172" w:line="231" w:lineRule="auto"/>
              <w:ind w:left="143"/>
              <w:rPr>
                <w:rFonts w:ascii="黑体" w:hAnsi="黑体" w:eastAsia="黑体" w:cs="黑体"/>
                <w:sz w:val="20"/>
                <w:szCs w:val="20"/>
              </w:rPr>
            </w:pPr>
            <w:r>
              <w:rPr>
                <w:rFonts w:ascii="黑体" w:hAnsi="黑体" w:eastAsia="黑体" w:cs="黑体"/>
                <w:spacing w:val="4"/>
                <w:sz w:val="20"/>
                <w:szCs w:val="20"/>
              </w:rPr>
              <w:t>序号</w:t>
            </w:r>
          </w:p>
        </w:tc>
        <w:tc>
          <w:tcPr>
            <w:tcW w:w="630" w:type="dxa"/>
            <w:vAlign w:val="top"/>
          </w:tcPr>
          <w:p>
            <w:pPr>
              <w:spacing w:before="35" w:line="234" w:lineRule="auto"/>
              <w:ind w:left="108" w:right="106"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4618" w:type="dxa"/>
            <w:vAlign w:val="top"/>
          </w:tcPr>
          <w:p>
            <w:pPr>
              <w:spacing w:before="171" w:line="231" w:lineRule="auto"/>
              <w:ind w:left="1891"/>
              <w:rPr>
                <w:rFonts w:ascii="黑体" w:hAnsi="黑体" w:eastAsia="黑体" w:cs="黑体"/>
                <w:sz w:val="20"/>
                <w:szCs w:val="20"/>
              </w:rPr>
            </w:pPr>
            <w:r>
              <w:rPr>
                <w:rFonts w:ascii="黑体" w:hAnsi="黑体" w:eastAsia="黑体" w:cs="黑体"/>
                <w:spacing w:val="7"/>
                <w:sz w:val="20"/>
                <w:szCs w:val="20"/>
              </w:rPr>
              <w:t>核查内容</w:t>
            </w:r>
          </w:p>
        </w:tc>
        <w:tc>
          <w:tcPr>
            <w:tcW w:w="5323" w:type="dxa"/>
            <w:gridSpan w:val="2"/>
            <w:vAlign w:val="top"/>
          </w:tcPr>
          <w:p>
            <w:pPr>
              <w:spacing w:before="172" w:line="230" w:lineRule="auto"/>
              <w:ind w:left="2244"/>
              <w:rPr>
                <w:rFonts w:ascii="黑体" w:hAnsi="黑体" w:eastAsia="黑体" w:cs="黑体"/>
                <w:sz w:val="20"/>
                <w:szCs w:val="20"/>
              </w:rPr>
            </w:pPr>
            <w:r>
              <w:rPr>
                <w:rFonts w:ascii="黑体" w:hAnsi="黑体" w:eastAsia="黑体" w:cs="黑体"/>
                <w:spacing w:val="7"/>
                <w:sz w:val="20"/>
                <w:szCs w:val="20"/>
              </w:rPr>
              <w:t>评分标准</w:t>
            </w:r>
          </w:p>
        </w:tc>
        <w:tc>
          <w:tcPr>
            <w:tcW w:w="1454" w:type="dxa"/>
            <w:vAlign w:val="top"/>
          </w:tcPr>
          <w:p>
            <w:pPr>
              <w:spacing w:before="172" w:line="230" w:lineRule="auto"/>
              <w:ind w:left="312"/>
              <w:rPr>
                <w:rFonts w:ascii="黑体" w:hAnsi="黑体" w:eastAsia="黑体" w:cs="黑体"/>
                <w:sz w:val="20"/>
                <w:szCs w:val="20"/>
              </w:rPr>
            </w:pPr>
            <w:r>
              <w:rPr>
                <w:rFonts w:ascii="黑体" w:hAnsi="黑体" w:eastAsia="黑体" w:cs="黑体"/>
                <w:spacing w:val="7"/>
                <w:sz w:val="20"/>
                <w:szCs w:val="20"/>
              </w:rPr>
              <w:t>核查记录</w:t>
            </w:r>
          </w:p>
        </w:tc>
        <w:tc>
          <w:tcPr>
            <w:tcW w:w="1675" w:type="dxa"/>
            <w:vAlign w:val="top"/>
          </w:tcPr>
          <w:p>
            <w:pPr>
              <w:spacing w:before="172" w:line="231" w:lineRule="auto"/>
              <w:ind w:left="420"/>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5"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before="57"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630" w:type="dxa"/>
            <w:vMerge w:val="restart"/>
            <w:tcBorders>
              <w:bottom w:val="nil"/>
            </w:tcBorders>
            <w:vAlign w:val="top"/>
          </w:tcPr>
          <w:p>
            <w:pPr>
              <w:pStyle w:val="6"/>
              <w:spacing w:before="29" w:line="245" w:lineRule="auto"/>
              <w:ind w:left="114" w:right="106" w:hanging="2"/>
              <w:jc w:val="both"/>
            </w:pPr>
            <w:r>
              <w:rPr>
                <w:spacing w:val="3"/>
              </w:rPr>
              <w:t>试制</w:t>
            </w:r>
            <w:r>
              <w:t xml:space="preserve"> </w:t>
            </w:r>
            <w:r>
              <w:rPr>
                <w:spacing w:val="2"/>
              </w:rPr>
              <w:t>产品</w:t>
            </w:r>
            <w:r>
              <w:t xml:space="preserve"> </w:t>
            </w:r>
            <w:r>
              <w:rPr>
                <w:spacing w:val="2"/>
              </w:rPr>
              <w:t>检验</w:t>
            </w:r>
            <w:r>
              <w:t xml:space="preserve"> </w:t>
            </w:r>
            <w:r>
              <w:rPr>
                <w:spacing w:val="2"/>
              </w:rPr>
              <w:t>合格</w:t>
            </w:r>
            <w:r>
              <w:t xml:space="preserve"> </w:t>
            </w:r>
            <w:r>
              <w:rPr>
                <w:spacing w:val="2"/>
              </w:rPr>
              <w:t>报告</w:t>
            </w:r>
          </w:p>
        </w:tc>
        <w:tc>
          <w:tcPr>
            <w:tcW w:w="4618" w:type="dxa"/>
            <w:vMerge w:val="restart"/>
            <w:tcBorders>
              <w:bottom w:val="nil"/>
            </w:tcBorders>
            <w:vAlign w:val="top"/>
          </w:tcPr>
          <w:p>
            <w:pPr>
              <w:pStyle w:val="6"/>
              <w:spacing w:before="306" w:line="248" w:lineRule="auto"/>
              <w:ind w:left="13" w:right="3" w:hanging="1"/>
              <w:jc w:val="both"/>
            </w:pPr>
            <w:r>
              <w:rPr>
                <w:spacing w:val="8"/>
              </w:rPr>
              <w:t>应当提交符合产品执行的食品安全国家标准、国务</w:t>
            </w:r>
            <w:r>
              <w:rPr>
                <w:spacing w:val="17"/>
              </w:rPr>
              <w:t xml:space="preserve"> </w:t>
            </w:r>
            <w:r>
              <w:rPr>
                <w:spacing w:val="18"/>
              </w:rPr>
              <w:t>院卫生行政部门相关公告的试制复配食品添加剂</w:t>
            </w:r>
            <w:r>
              <w:rPr>
                <w:spacing w:val="16"/>
              </w:rPr>
              <w:t xml:space="preserve"> </w:t>
            </w:r>
            <w:r>
              <w:rPr>
                <w:spacing w:val="6"/>
              </w:rPr>
              <w:t>检验合格报告。</w:t>
            </w:r>
          </w:p>
        </w:tc>
        <w:tc>
          <w:tcPr>
            <w:tcW w:w="4798" w:type="dxa"/>
            <w:vAlign w:val="top"/>
          </w:tcPr>
          <w:p>
            <w:pPr>
              <w:pStyle w:val="6"/>
              <w:spacing w:before="65" w:line="229" w:lineRule="auto"/>
              <w:ind w:left="19"/>
            </w:pPr>
            <w:r>
              <w:rPr>
                <w:spacing w:val="5"/>
              </w:rPr>
              <w:t>符合规定要求。</w:t>
            </w:r>
          </w:p>
        </w:tc>
        <w:tc>
          <w:tcPr>
            <w:tcW w:w="525" w:type="dxa"/>
            <w:vAlign w:val="top"/>
          </w:tcPr>
          <w:p>
            <w:pPr>
              <w:spacing w:before="10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4" w:type="dxa"/>
            <w:vAlign w:val="top"/>
          </w:tcPr>
          <w:p>
            <w:pPr>
              <w:rPr>
                <w:rFonts w:ascii="Arial"/>
                <w:sz w:val="21"/>
              </w:rPr>
            </w:pPr>
          </w:p>
        </w:tc>
        <w:tc>
          <w:tcPr>
            <w:tcW w:w="1675"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5" w:type="dxa"/>
            <w:vMerge w:val="continue"/>
            <w:tcBorders>
              <w:top w:val="nil"/>
              <w:bottom w:val="nil"/>
            </w:tcBorders>
            <w:vAlign w:val="top"/>
          </w:tcPr>
          <w:p>
            <w:pPr>
              <w:rPr>
                <w:rFonts w:ascii="Arial"/>
                <w:sz w:val="21"/>
              </w:rPr>
            </w:pPr>
          </w:p>
        </w:tc>
        <w:tc>
          <w:tcPr>
            <w:tcW w:w="630" w:type="dxa"/>
            <w:vMerge w:val="continue"/>
            <w:tcBorders>
              <w:top w:val="nil"/>
              <w:bottom w:val="nil"/>
            </w:tcBorders>
            <w:vAlign w:val="top"/>
          </w:tcPr>
          <w:p>
            <w:pPr>
              <w:rPr>
                <w:rFonts w:ascii="Arial"/>
                <w:sz w:val="21"/>
              </w:rPr>
            </w:pPr>
          </w:p>
        </w:tc>
        <w:tc>
          <w:tcPr>
            <w:tcW w:w="4618" w:type="dxa"/>
            <w:vMerge w:val="continue"/>
            <w:tcBorders>
              <w:top w:val="nil"/>
              <w:bottom w:val="nil"/>
            </w:tcBorders>
            <w:vAlign w:val="top"/>
          </w:tcPr>
          <w:p>
            <w:pPr>
              <w:rPr>
                <w:rFonts w:ascii="Arial"/>
                <w:sz w:val="21"/>
              </w:rPr>
            </w:pPr>
          </w:p>
        </w:tc>
        <w:tc>
          <w:tcPr>
            <w:tcW w:w="4798" w:type="dxa"/>
            <w:vAlign w:val="top"/>
          </w:tcPr>
          <w:p>
            <w:pPr>
              <w:pStyle w:val="6"/>
              <w:spacing w:before="66" w:line="229" w:lineRule="auto"/>
              <w:ind w:left="13"/>
            </w:pPr>
            <w:r>
              <w:rPr>
                <w:spacing w:val="7"/>
              </w:rPr>
              <w:t>规定的检验项目不全。</w:t>
            </w:r>
          </w:p>
        </w:tc>
        <w:tc>
          <w:tcPr>
            <w:tcW w:w="525" w:type="dxa"/>
            <w:vAlign w:val="top"/>
          </w:tcPr>
          <w:p>
            <w:pPr>
              <w:spacing w:before="102"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0.5</w:t>
            </w:r>
          </w:p>
        </w:tc>
        <w:tc>
          <w:tcPr>
            <w:tcW w:w="1454" w:type="dxa"/>
            <w:vAlign w:val="top"/>
          </w:tcPr>
          <w:p>
            <w:pPr>
              <w:rPr>
                <w:rFonts w:ascii="Arial"/>
                <w:sz w:val="21"/>
              </w:rPr>
            </w:pPr>
          </w:p>
        </w:tc>
        <w:tc>
          <w:tcPr>
            <w:tcW w:w="16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95"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4618" w:type="dxa"/>
            <w:vMerge w:val="continue"/>
            <w:tcBorders>
              <w:top w:val="nil"/>
            </w:tcBorders>
            <w:vAlign w:val="top"/>
          </w:tcPr>
          <w:p>
            <w:pPr>
              <w:rPr>
                <w:rFonts w:ascii="Arial"/>
                <w:sz w:val="21"/>
              </w:rPr>
            </w:pPr>
          </w:p>
        </w:tc>
        <w:tc>
          <w:tcPr>
            <w:tcW w:w="4798" w:type="dxa"/>
            <w:vAlign w:val="top"/>
          </w:tcPr>
          <w:p>
            <w:pPr>
              <w:pStyle w:val="6"/>
              <w:spacing w:before="228" w:line="229" w:lineRule="auto"/>
              <w:ind w:left="17"/>
            </w:pPr>
            <w:r>
              <w:rPr>
                <w:spacing w:val="6"/>
              </w:rPr>
              <w:t>无检验合格报告。</w:t>
            </w:r>
          </w:p>
        </w:tc>
        <w:tc>
          <w:tcPr>
            <w:tcW w:w="525" w:type="dxa"/>
            <w:vAlign w:val="top"/>
          </w:tcPr>
          <w:p>
            <w:pPr>
              <w:spacing w:before="26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454" w:type="dxa"/>
            <w:vAlign w:val="top"/>
          </w:tcPr>
          <w:p>
            <w:pPr>
              <w:rPr>
                <w:rFonts w:ascii="Arial"/>
                <w:sz w:val="21"/>
              </w:rPr>
            </w:pPr>
          </w:p>
        </w:tc>
        <w:tc>
          <w:tcPr>
            <w:tcW w:w="1675"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7" w:type="default"/>
          <w:pgSz w:w="15840" w:h="12240"/>
          <w:pgMar w:top="1040" w:right="356" w:bottom="897" w:left="1038" w:header="0" w:footer="724" w:gutter="0"/>
          <w:cols w:space="720" w:num="1"/>
        </w:sect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101" w:line="230" w:lineRule="auto"/>
        <w:outlineLvl w:val="0"/>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1"/>
          <w:sz w:val="31"/>
          <w:szCs w:val="31"/>
        </w:rPr>
        <w:t xml:space="preserve"> </w:t>
      </w:r>
      <w:r>
        <w:rPr>
          <w:rFonts w:ascii="Times New Roman" w:hAnsi="Times New Roman" w:eastAsia="Times New Roman" w:cs="Times New Roman"/>
          <w:spacing w:val="-4"/>
          <w:sz w:val="31"/>
          <w:szCs w:val="31"/>
        </w:rPr>
        <w:t>3</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140" w:line="593" w:lineRule="exact"/>
        <w:ind w:left="2505"/>
        <w:outlineLvl w:val="0"/>
        <w:rPr>
          <w:rFonts w:ascii="宋体" w:hAnsi="宋体" w:eastAsia="宋体" w:cs="宋体"/>
          <w:sz w:val="43"/>
          <w:szCs w:val="43"/>
        </w:rPr>
      </w:pPr>
      <w:r>
        <w:rPr>
          <w:rFonts w:ascii="宋体" w:hAnsi="宋体" w:eastAsia="宋体" w:cs="宋体"/>
          <w:b/>
          <w:bCs/>
          <w:spacing w:val="4"/>
          <w:position w:val="2"/>
          <w:sz w:val="43"/>
          <w:szCs w:val="43"/>
        </w:rPr>
        <w:t>食品用香精生产许可现场核查评分记录表</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2"/>
        <w:spacing w:before="100" w:line="226" w:lineRule="auto"/>
        <w:ind w:left="2596"/>
      </w:pPr>
      <w:r>
        <w:rPr>
          <w:spacing w:val="-2"/>
        </w:rPr>
        <w:t>申请人名称：</w:t>
      </w:r>
      <w:r>
        <w:rPr>
          <w:spacing w:val="-2"/>
          <w:u w:val="single" w:color="auto"/>
        </w:rPr>
        <w:t xml:space="preserve">                                           </w:t>
      </w:r>
      <w:r>
        <w:rPr>
          <w:spacing w:val="-3"/>
          <w:u w:val="single" w:color="auto"/>
        </w:rPr>
        <w:t xml:space="preserve">  </w:t>
      </w:r>
    </w:p>
    <w:p>
      <w:pPr>
        <w:spacing w:line="357" w:lineRule="auto"/>
        <w:rPr>
          <w:rFonts w:ascii="Arial"/>
          <w:sz w:val="21"/>
        </w:rPr>
      </w:pPr>
    </w:p>
    <w:p>
      <w:pPr>
        <w:pStyle w:val="2"/>
        <w:spacing w:before="100" w:line="490" w:lineRule="auto"/>
        <w:ind w:left="2550" w:right="345"/>
      </w:pPr>
      <w:r>
        <w:rPr>
          <w:spacing w:val="7"/>
        </w:rPr>
        <w:t>食品、食品添加剂类别及类别名称：</w:t>
      </w:r>
      <w:r>
        <w:rPr>
          <w:spacing w:val="7"/>
          <w:u w:val="single" w:color="auto"/>
        </w:rPr>
        <w:t xml:space="preserve">  食品用香精            </w:t>
      </w:r>
      <w:r>
        <w:rPr>
          <w:spacing w:val="6"/>
        </w:rPr>
        <w:t xml:space="preserve">  </w:t>
      </w:r>
      <w:r>
        <w:rPr>
          <w:spacing w:val="5"/>
        </w:rPr>
        <w:t>生产场所地址：</w:t>
      </w:r>
      <w:r>
        <w:rPr>
          <w:spacing w:val="5"/>
          <w:u w:val="single" w:color="auto"/>
        </w:rPr>
        <w:t xml:space="preserve">                                          </w:t>
      </w:r>
      <w:r>
        <w:rPr>
          <w:spacing w:val="6"/>
        </w:rPr>
        <w:t xml:space="preserve">  </w:t>
      </w:r>
      <w:r>
        <w:rPr>
          <w:spacing w:val="-8"/>
        </w:rPr>
        <w:t>核查日期：</w:t>
      </w:r>
      <w:r>
        <w:rPr>
          <w:spacing w:val="6"/>
          <w:u w:val="single" w:color="auto"/>
        </w:rPr>
        <w:t xml:space="preserve">            </w:t>
      </w:r>
      <w:r>
        <w:rPr>
          <w:spacing w:val="-126"/>
        </w:rPr>
        <w:t xml:space="preserve"> </w:t>
      </w:r>
      <w:r>
        <w:rPr>
          <w:spacing w:val="-8"/>
        </w:rPr>
        <w:t>年</w:t>
      </w:r>
      <w:r>
        <w:rPr>
          <w:spacing w:val="-153"/>
        </w:rPr>
        <w:t xml:space="preserve"> </w:t>
      </w:r>
      <w:r>
        <w:rPr>
          <w:spacing w:val="5"/>
          <w:u w:val="single" w:color="auto"/>
        </w:rPr>
        <w:t xml:space="preserve">              </w:t>
      </w:r>
      <w:r>
        <w:rPr>
          <w:spacing w:val="-119"/>
        </w:rPr>
        <w:t xml:space="preserve"> </w:t>
      </w:r>
      <w:r>
        <w:rPr>
          <w:spacing w:val="-8"/>
        </w:rPr>
        <w:t>月</w:t>
      </w:r>
      <w:r>
        <w:rPr>
          <w:spacing w:val="-8"/>
          <w:u w:val="single" w:color="auto"/>
        </w:rPr>
        <w:t xml:space="preserve">                </w:t>
      </w:r>
      <w:r>
        <w:rPr>
          <w:spacing w:val="-66"/>
        </w:rPr>
        <w:t xml:space="preserve"> </w:t>
      </w:r>
      <w:r>
        <w:rPr>
          <w:spacing w:val="-8"/>
        </w:rPr>
        <w:t>日</w:t>
      </w:r>
    </w:p>
    <w:p>
      <w:pPr>
        <w:spacing w:line="490" w:lineRule="auto"/>
        <w:sectPr>
          <w:footerReference r:id="rId68" w:type="default"/>
          <w:pgSz w:w="15840" w:h="12240"/>
          <w:pgMar w:top="1040" w:right="2376" w:bottom="897" w:left="1469" w:header="0" w:footer="723" w:gutter="0"/>
          <w:cols w:space="720" w:num="1"/>
        </w:sectPr>
      </w:pPr>
    </w:p>
    <w:p>
      <w:pPr>
        <w:spacing w:before="12"/>
      </w:pPr>
    </w:p>
    <w:p>
      <w:pPr>
        <w:spacing w:before="12"/>
      </w:pPr>
    </w:p>
    <w:p>
      <w:pPr>
        <w:spacing w:before="11"/>
      </w:pPr>
    </w:p>
    <w:tbl>
      <w:tblPr>
        <w:tblStyle w:val="5"/>
        <w:tblW w:w="12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978"/>
        <w:gridCol w:w="5549"/>
        <w:gridCol w:w="1127"/>
        <w:gridCol w:w="3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13" w:type="dxa"/>
            <w:vMerge w:val="restart"/>
            <w:tcBorders>
              <w:bottom w:val="nil"/>
            </w:tcBorders>
            <w:textDirection w:val="tbRlV"/>
            <w:vAlign w:val="top"/>
          </w:tcPr>
          <w:p>
            <w:pPr>
              <w:pStyle w:val="6"/>
              <w:spacing w:before="183" w:line="207" w:lineRule="auto"/>
              <w:ind w:left="1729"/>
              <w:rPr>
                <w:sz w:val="24"/>
                <w:szCs w:val="24"/>
              </w:rPr>
            </w:pPr>
            <w:r>
              <w:rPr>
                <w:spacing w:val="-1"/>
                <w:sz w:val="24"/>
                <w:szCs w:val="24"/>
              </w:rPr>
              <w:t>核</w:t>
            </w:r>
            <w:r>
              <w:rPr>
                <w:spacing w:val="42"/>
                <w:sz w:val="24"/>
                <w:szCs w:val="24"/>
              </w:rPr>
              <w:t xml:space="preserve"> </w:t>
            </w:r>
            <w:r>
              <w:rPr>
                <w:spacing w:val="-1"/>
                <w:sz w:val="24"/>
                <w:szCs w:val="24"/>
              </w:rPr>
              <w:t>查</w:t>
            </w:r>
            <w:r>
              <w:rPr>
                <w:spacing w:val="39"/>
                <w:sz w:val="24"/>
                <w:szCs w:val="24"/>
              </w:rPr>
              <w:t xml:space="preserve"> </w:t>
            </w:r>
            <w:r>
              <w:rPr>
                <w:spacing w:val="-1"/>
                <w:sz w:val="24"/>
                <w:szCs w:val="24"/>
              </w:rPr>
              <w:t>组</w:t>
            </w:r>
            <w:r>
              <w:rPr>
                <w:spacing w:val="41"/>
                <w:sz w:val="24"/>
                <w:szCs w:val="24"/>
              </w:rPr>
              <w:t xml:space="preserve"> </w:t>
            </w:r>
            <w:r>
              <w:rPr>
                <w:spacing w:val="-1"/>
                <w:sz w:val="24"/>
                <w:szCs w:val="24"/>
              </w:rPr>
              <w:t>成</w:t>
            </w:r>
            <w:r>
              <w:rPr>
                <w:spacing w:val="42"/>
                <w:sz w:val="24"/>
                <w:szCs w:val="24"/>
              </w:rPr>
              <w:t xml:space="preserve"> </w:t>
            </w:r>
            <w:r>
              <w:rPr>
                <w:spacing w:val="-1"/>
                <w:sz w:val="24"/>
                <w:szCs w:val="24"/>
              </w:rPr>
              <w:t>员</w:t>
            </w:r>
          </w:p>
        </w:tc>
        <w:tc>
          <w:tcPr>
            <w:tcW w:w="1978" w:type="dxa"/>
            <w:vAlign w:val="top"/>
          </w:tcPr>
          <w:p>
            <w:pPr>
              <w:pStyle w:val="6"/>
              <w:spacing w:before="288" w:line="219" w:lineRule="auto"/>
              <w:ind w:left="272"/>
              <w:rPr>
                <w:sz w:val="24"/>
                <w:szCs w:val="24"/>
              </w:rPr>
            </w:pPr>
            <w:r>
              <w:rPr>
                <w:spacing w:val="-2"/>
                <w:sz w:val="24"/>
                <w:szCs w:val="24"/>
              </w:rPr>
              <w:t>姓名（签名）</w:t>
            </w:r>
          </w:p>
        </w:tc>
        <w:tc>
          <w:tcPr>
            <w:tcW w:w="5549" w:type="dxa"/>
            <w:vAlign w:val="top"/>
          </w:tcPr>
          <w:p>
            <w:pPr>
              <w:pStyle w:val="6"/>
              <w:spacing w:before="287" w:line="216" w:lineRule="auto"/>
              <w:ind w:left="2545"/>
              <w:rPr>
                <w:sz w:val="24"/>
                <w:szCs w:val="24"/>
              </w:rPr>
            </w:pPr>
            <w:r>
              <w:rPr>
                <w:spacing w:val="-8"/>
                <w:sz w:val="24"/>
                <w:szCs w:val="24"/>
              </w:rPr>
              <w:t>单位</w:t>
            </w:r>
          </w:p>
        </w:tc>
        <w:tc>
          <w:tcPr>
            <w:tcW w:w="1127" w:type="dxa"/>
            <w:vAlign w:val="top"/>
          </w:tcPr>
          <w:p>
            <w:pPr>
              <w:pStyle w:val="6"/>
              <w:spacing w:before="287" w:line="218" w:lineRule="auto"/>
              <w:ind w:left="341"/>
              <w:rPr>
                <w:sz w:val="24"/>
                <w:szCs w:val="24"/>
              </w:rPr>
            </w:pPr>
            <w:r>
              <w:rPr>
                <w:spacing w:val="-10"/>
                <w:sz w:val="24"/>
                <w:szCs w:val="24"/>
              </w:rPr>
              <w:t>职务</w:t>
            </w:r>
          </w:p>
        </w:tc>
        <w:tc>
          <w:tcPr>
            <w:tcW w:w="3121" w:type="dxa"/>
            <w:vAlign w:val="top"/>
          </w:tcPr>
          <w:p>
            <w:pPr>
              <w:pStyle w:val="6"/>
              <w:spacing w:before="287" w:line="217" w:lineRule="auto"/>
              <w:ind w:left="1085"/>
              <w:rPr>
                <w:sz w:val="24"/>
                <w:szCs w:val="24"/>
              </w:rPr>
            </w:pPr>
            <w:r>
              <w:rPr>
                <w:spacing w:val="-3"/>
                <w:sz w:val="24"/>
                <w:szCs w:val="24"/>
              </w:rPr>
              <w:t>核查分工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pStyle w:val="6"/>
              <w:spacing w:before="285" w:line="220" w:lineRule="auto"/>
              <w:ind w:left="334"/>
              <w:rPr>
                <w:sz w:val="24"/>
                <w:szCs w:val="24"/>
              </w:rPr>
            </w:pPr>
            <w:r>
              <w:rPr>
                <w:spacing w:val="-7"/>
                <w:sz w:val="24"/>
                <w:szCs w:val="24"/>
              </w:rPr>
              <w:t>组长</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pStyle w:val="6"/>
              <w:spacing w:before="286" w:line="219" w:lineRule="auto"/>
              <w:ind w:left="334"/>
              <w:rPr>
                <w:sz w:val="24"/>
                <w:szCs w:val="24"/>
              </w:rPr>
            </w:pPr>
            <w:r>
              <w:rPr>
                <w:spacing w:val="-7"/>
                <w:sz w:val="24"/>
                <w:szCs w:val="24"/>
              </w:rPr>
              <w:t>组员</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pStyle w:val="6"/>
              <w:spacing w:before="286" w:line="219" w:lineRule="auto"/>
              <w:ind w:left="334"/>
              <w:rPr>
                <w:sz w:val="24"/>
                <w:szCs w:val="24"/>
              </w:rPr>
            </w:pPr>
            <w:r>
              <w:rPr>
                <w:spacing w:val="-7"/>
                <w:sz w:val="24"/>
                <w:szCs w:val="24"/>
              </w:rPr>
              <w:t>组员</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rPr>
                <w:rFonts w:ascii="Arial"/>
                <w:sz w:val="21"/>
              </w:rPr>
            </w:pP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13" w:type="dxa"/>
            <w:vMerge w:val="continue"/>
            <w:tcBorders>
              <w:top w:val="nil"/>
              <w:bottom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rPr>
                <w:rFonts w:ascii="Arial"/>
                <w:sz w:val="21"/>
              </w:rPr>
            </w:pP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13" w:type="dxa"/>
            <w:vMerge w:val="continue"/>
            <w:tcBorders>
              <w:top w:val="nil"/>
            </w:tcBorders>
            <w:textDirection w:val="tbRlV"/>
            <w:vAlign w:val="top"/>
          </w:tcPr>
          <w:p>
            <w:pPr>
              <w:rPr>
                <w:rFonts w:ascii="Arial"/>
                <w:sz w:val="21"/>
              </w:rPr>
            </w:pPr>
          </w:p>
        </w:tc>
        <w:tc>
          <w:tcPr>
            <w:tcW w:w="1978" w:type="dxa"/>
            <w:vAlign w:val="top"/>
          </w:tcPr>
          <w:p>
            <w:pPr>
              <w:rPr>
                <w:rFonts w:ascii="Arial"/>
                <w:sz w:val="21"/>
              </w:rPr>
            </w:pPr>
          </w:p>
        </w:tc>
        <w:tc>
          <w:tcPr>
            <w:tcW w:w="5549" w:type="dxa"/>
            <w:vAlign w:val="top"/>
          </w:tcPr>
          <w:p>
            <w:pPr>
              <w:rPr>
                <w:rFonts w:ascii="Arial"/>
                <w:sz w:val="21"/>
              </w:rPr>
            </w:pPr>
          </w:p>
        </w:tc>
        <w:tc>
          <w:tcPr>
            <w:tcW w:w="1127" w:type="dxa"/>
            <w:vAlign w:val="top"/>
          </w:tcPr>
          <w:p>
            <w:pPr>
              <w:rPr>
                <w:rFonts w:ascii="Arial"/>
                <w:sz w:val="21"/>
              </w:rPr>
            </w:pPr>
          </w:p>
        </w:tc>
        <w:tc>
          <w:tcPr>
            <w:tcW w:w="31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9" w:type="default"/>
          <w:pgSz w:w="15840" w:h="12240"/>
          <w:pgMar w:top="1040" w:right="1723" w:bottom="897" w:left="1723" w:header="0" w:footer="723"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0" w:line="222" w:lineRule="auto"/>
        <w:ind w:left="6533"/>
        <w:outlineLvl w:val="0"/>
        <w:rPr>
          <w:rFonts w:ascii="宋体" w:hAnsi="宋体" w:eastAsia="宋体" w:cs="宋体"/>
          <w:sz w:val="43"/>
          <w:szCs w:val="43"/>
        </w:rPr>
      </w:pPr>
      <w:r>
        <w:rPr>
          <w:rFonts w:ascii="宋体" w:hAnsi="宋体" w:eastAsia="宋体" w:cs="宋体"/>
          <w:b/>
          <w:bCs/>
          <w:spacing w:val="3"/>
          <w:sz w:val="43"/>
          <w:szCs w:val="43"/>
        </w:rPr>
        <w:t>使用说明</w:t>
      </w:r>
    </w:p>
    <w:p>
      <w:pPr>
        <w:pStyle w:val="2"/>
        <w:spacing w:before="109" w:line="314" w:lineRule="auto"/>
        <w:ind w:firstLine="494"/>
        <w:rPr>
          <w:sz w:val="24"/>
          <w:szCs w:val="24"/>
        </w:rPr>
      </w:pPr>
      <w:r>
        <w:rPr>
          <w:rFonts w:ascii="Times New Roman" w:hAnsi="Times New Roman" w:eastAsia="Times New Roman" w:cs="Times New Roman"/>
          <w:spacing w:val="-1"/>
          <w:sz w:val="24"/>
          <w:szCs w:val="24"/>
        </w:rPr>
        <w:t xml:space="preserve">1.  </w:t>
      </w:r>
      <w:r>
        <w:rPr>
          <w:spacing w:val="-1"/>
          <w:sz w:val="24"/>
          <w:szCs w:val="24"/>
        </w:rPr>
        <w:t>本记录表依据《中华人民共和国食品安全法》及其实施条例、《食品生产许可管理办法》等法律法规、规章以及《食品生产许</w:t>
      </w:r>
      <w:r>
        <w:rPr>
          <w:spacing w:val="13"/>
          <w:sz w:val="24"/>
          <w:szCs w:val="24"/>
        </w:rPr>
        <w:t xml:space="preserve"> </w:t>
      </w:r>
      <w:r>
        <w:rPr>
          <w:spacing w:val="-1"/>
          <w:sz w:val="24"/>
          <w:szCs w:val="24"/>
        </w:rPr>
        <w:t>可审查通则》《食品添加剂生产许可审查细则》和相关食品安全国家标准</w:t>
      </w:r>
      <w:r>
        <w:rPr>
          <w:spacing w:val="-2"/>
          <w:sz w:val="24"/>
          <w:szCs w:val="24"/>
        </w:rPr>
        <w:t>的要求制定，替代《食品生产许可审查通则》附件</w:t>
      </w:r>
      <w:r>
        <w:rPr>
          <w:spacing w:val="-55"/>
          <w:sz w:val="24"/>
          <w:szCs w:val="24"/>
        </w:rPr>
        <w:t xml:space="preserve"> </w:t>
      </w:r>
      <w:r>
        <w:rPr>
          <w:rFonts w:ascii="Times New Roman" w:hAnsi="Times New Roman" w:eastAsia="Times New Roman" w:cs="Times New Roman"/>
          <w:spacing w:val="-2"/>
          <w:sz w:val="24"/>
          <w:szCs w:val="24"/>
        </w:rPr>
        <w:t>2</w:t>
      </w:r>
      <w:r>
        <w:rPr>
          <w:spacing w:val="-2"/>
          <w:sz w:val="24"/>
          <w:szCs w:val="24"/>
        </w:rPr>
        <w:t>《食品、</w:t>
      </w:r>
      <w:r>
        <w:rPr>
          <w:sz w:val="24"/>
          <w:szCs w:val="24"/>
        </w:rPr>
        <w:t xml:space="preserve"> 食品添加剂生产许可现场核查评分记录表》，用于食</w:t>
      </w:r>
      <w:r>
        <w:rPr>
          <w:spacing w:val="-1"/>
          <w:sz w:val="24"/>
          <w:szCs w:val="24"/>
        </w:rPr>
        <w:t>品添加剂生产许可现场核查评分。</w:t>
      </w:r>
    </w:p>
    <w:p>
      <w:pPr>
        <w:pStyle w:val="2"/>
        <w:spacing w:before="34" w:line="222" w:lineRule="auto"/>
        <w:ind w:left="471"/>
        <w:rPr>
          <w:sz w:val="24"/>
          <w:szCs w:val="24"/>
        </w:rPr>
      </w:pPr>
      <w:r>
        <w:rPr>
          <w:rFonts w:ascii="Times New Roman" w:hAnsi="Times New Roman" w:eastAsia="Times New Roman" w:cs="Times New Roman"/>
          <w:sz w:val="24"/>
          <w:szCs w:val="24"/>
        </w:rPr>
        <w:t xml:space="preserve">2.  </w:t>
      </w:r>
      <w:r>
        <w:rPr>
          <w:sz w:val="24"/>
          <w:szCs w:val="24"/>
        </w:rPr>
        <w:t>本记录表应当结合相应食品生产许可审查</w:t>
      </w:r>
      <w:r>
        <w:rPr>
          <w:spacing w:val="-1"/>
          <w:sz w:val="24"/>
          <w:szCs w:val="24"/>
        </w:rPr>
        <w:t>细则要求使用。</w:t>
      </w:r>
    </w:p>
    <w:p>
      <w:pPr>
        <w:pStyle w:val="2"/>
        <w:spacing w:before="132" w:line="307" w:lineRule="auto"/>
        <w:ind w:left="4" w:right="75" w:firstLine="479"/>
        <w:rPr>
          <w:sz w:val="24"/>
          <w:szCs w:val="24"/>
        </w:rPr>
      </w:pPr>
      <w:r>
        <w:rPr>
          <w:spacing w:val="-5"/>
          <w:sz w:val="24"/>
          <w:szCs w:val="24"/>
        </w:rPr>
        <w:t>本记录表包括生产场所（</w:t>
      </w:r>
      <w:r>
        <w:rPr>
          <w:rFonts w:ascii="Times New Roman" w:hAnsi="Times New Roman" w:eastAsia="Times New Roman" w:cs="Times New Roman"/>
          <w:spacing w:val="-5"/>
          <w:sz w:val="24"/>
          <w:szCs w:val="24"/>
        </w:rPr>
        <w:t>7</w:t>
      </w:r>
      <w:r>
        <w:rPr>
          <w:rFonts w:ascii="Times New Roman" w:hAnsi="Times New Roman" w:eastAsia="Times New Roman" w:cs="Times New Roman"/>
          <w:spacing w:val="29"/>
          <w:sz w:val="24"/>
          <w:szCs w:val="24"/>
        </w:rPr>
        <w:t xml:space="preserve"> </w:t>
      </w:r>
      <w:r>
        <w:rPr>
          <w:spacing w:val="-5"/>
          <w:sz w:val="24"/>
          <w:szCs w:val="24"/>
        </w:rPr>
        <w:t>项</w:t>
      </w:r>
      <w:r>
        <w:rPr>
          <w:spacing w:val="-55"/>
          <w:sz w:val="24"/>
          <w:szCs w:val="24"/>
        </w:rPr>
        <w:t xml:space="preserve"> </w:t>
      </w:r>
      <w:r>
        <w:rPr>
          <w:rFonts w:ascii="Times New Roman" w:hAnsi="Times New Roman" w:eastAsia="Times New Roman" w:cs="Times New Roman"/>
          <w:spacing w:val="-5"/>
          <w:sz w:val="24"/>
          <w:szCs w:val="24"/>
        </w:rPr>
        <w:t>21</w:t>
      </w:r>
      <w:r>
        <w:rPr>
          <w:rFonts w:ascii="Times New Roman" w:hAnsi="Times New Roman" w:eastAsia="Times New Roman" w:cs="Times New Roman"/>
          <w:spacing w:val="21"/>
          <w:sz w:val="24"/>
          <w:szCs w:val="24"/>
        </w:rPr>
        <w:t xml:space="preserve"> </w:t>
      </w:r>
      <w:r>
        <w:rPr>
          <w:spacing w:val="-5"/>
          <w:sz w:val="24"/>
          <w:szCs w:val="24"/>
        </w:rPr>
        <w:t>分）、设备设施（</w:t>
      </w:r>
      <w:r>
        <w:rPr>
          <w:rFonts w:ascii="Times New Roman" w:hAnsi="Times New Roman" w:eastAsia="Times New Roman" w:cs="Times New Roman"/>
          <w:spacing w:val="-5"/>
          <w:sz w:val="24"/>
          <w:szCs w:val="24"/>
        </w:rPr>
        <w:t>12</w:t>
      </w:r>
      <w:r>
        <w:rPr>
          <w:rFonts w:ascii="Times New Roman" w:hAnsi="Times New Roman" w:eastAsia="Times New Roman" w:cs="Times New Roman"/>
          <w:spacing w:val="19"/>
          <w:sz w:val="24"/>
          <w:szCs w:val="24"/>
        </w:rPr>
        <w:t xml:space="preserve"> </w:t>
      </w:r>
      <w:r>
        <w:rPr>
          <w:spacing w:val="-5"/>
          <w:sz w:val="24"/>
          <w:szCs w:val="24"/>
        </w:rPr>
        <w:t>项</w:t>
      </w:r>
      <w:r>
        <w:rPr>
          <w:spacing w:val="-50"/>
          <w:sz w:val="24"/>
          <w:szCs w:val="24"/>
        </w:rPr>
        <w:t xml:space="preserve"> </w:t>
      </w:r>
      <w:r>
        <w:rPr>
          <w:rFonts w:ascii="Times New Roman" w:hAnsi="Times New Roman" w:eastAsia="Times New Roman" w:cs="Times New Roman"/>
          <w:spacing w:val="-5"/>
          <w:sz w:val="24"/>
          <w:szCs w:val="24"/>
        </w:rPr>
        <w:t>36</w:t>
      </w:r>
      <w:r>
        <w:rPr>
          <w:rFonts w:ascii="Times New Roman" w:hAnsi="Times New Roman" w:eastAsia="Times New Roman" w:cs="Times New Roman"/>
          <w:spacing w:val="21"/>
          <w:sz w:val="24"/>
          <w:szCs w:val="24"/>
        </w:rPr>
        <w:t xml:space="preserve"> </w:t>
      </w:r>
      <w:r>
        <w:rPr>
          <w:spacing w:val="-5"/>
          <w:sz w:val="24"/>
          <w:szCs w:val="24"/>
        </w:rPr>
        <w:t>分）、设备布局和工艺流程（</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17"/>
          <w:sz w:val="24"/>
          <w:szCs w:val="24"/>
        </w:rPr>
        <w:t xml:space="preserve"> </w:t>
      </w:r>
      <w:r>
        <w:rPr>
          <w:spacing w:val="-5"/>
          <w:sz w:val="24"/>
          <w:szCs w:val="24"/>
        </w:rPr>
        <w:t>项</w:t>
      </w:r>
      <w:r>
        <w:rPr>
          <w:spacing w:val="-51"/>
          <w:sz w:val="24"/>
          <w:szCs w:val="24"/>
        </w:rPr>
        <w:t xml:space="preserve"> </w:t>
      </w:r>
      <w:r>
        <w:rPr>
          <w:rFonts w:ascii="Times New Roman" w:hAnsi="Times New Roman" w:eastAsia="Times New Roman" w:cs="Times New Roman"/>
          <w:spacing w:val="-5"/>
          <w:sz w:val="24"/>
          <w:szCs w:val="24"/>
        </w:rPr>
        <w:t>9</w:t>
      </w:r>
      <w:r>
        <w:rPr>
          <w:rFonts w:ascii="Times New Roman" w:hAnsi="Times New Roman" w:eastAsia="Times New Roman" w:cs="Times New Roman"/>
          <w:spacing w:val="19"/>
          <w:sz w:val="24"/>
          <w:szCs w:val="24"/>
        </w:rPr>
        <w:t xml:space="preserve"> </w:t>
      </w:r>
      <w:r>
        <w:rPr>
          <w:spacing w:val="-5"/>
          <w:sz w:val="24"/>
          <w:szCs w:val="24"/>
        </w:rPr>
        <w:t>分）、人员管理（</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17"/>
          <w:sz w:val="24"/>
          <w:szCs w:val="24"/>
        </w:rPr>
        <w:t xml:space="preserve"> </w:t>
      </w:r>
      <w:r>
        <w:rPr>
          <w:spacing w:val="-5"/>
          <w:sz w:val="24"/>
          <w:szCs w:val="24"/>
        </w:rPr>
        <w:t>项</w:t>
      </w:r>
      <w:r>
        <w:rPr>
          <w:spacing w:val="-51"/>
          <w:sz w:val="24"/>
          <w:szCs w:val="24"/>
        </w:rPr>
        <w:t xml:space="preserve"> </w:t>
      </w:r>
      <w:r>
        <w:rPr>
          <w:rFonts w:ascii="Times New Roman" w:hAnsi="Times New Roman" w:eastAsia="Times New Roman" w:cs="Times New Roman"/>
          <w:spacing w:val="-5"/>
          <w:sz w:val="24"/>
          <w:szCs w:val="24"/>
        </w:rPr>
        <w:t>9</w:t>
      </w:r>
      <w:r>
        <w:rPr>
          <w:rFonts w:ascii="Times New Roman" w:hAnsi="Times New Roman" w:eastAsia="Times New Roman" w:cs="Times New Roman"/>
          <w:spacing w:val="19"/>
          <w:sz w:val="24"/>
          <w:szCs w:val="24"/>
        </w:rPr>
        <w:t xml:space="preserve"> </w:t>
      </w:r>
      <w:r>
        <w:rPr>
          <w:spacing w:val="-5"/>
          <w:sz w:val="24"/>
          <w:szCs w:val="24"/>
        </w:rPr>
        <w:t>分）、管</w:t>
      </w:r>
      <w:r>
        <w:rPr>
          <w:sz w:val="24"/>
          <w:szCs w:val="24"/>
        </w:rPr>
        <w:t xml:space="preserve"> </w:t>
      </w:r>
      <w:r>
        <w:rPr>
          <w:spacing w:val="-3"/>
          <w:sz w:val="24"/>
          <w:szCs w:val="24"/>
        </w:rPr>
        <w:t>理制度（</w:t>
      </w:r>
      <w:r>
        <w:rPr>
          <w:rFonts w:ascii="Times New Roman" w:hAnsi="Times New Roman" w:eastAsia="Times New Roman" w:cs="Times New Roman"/>
          <w:spacing w:val="-3"/>
          <w:sz w:val="24"/>
          <w:szCs w:val="24"/>
        </w:rPr>
        <w:t>17</w:t>
      </w:r>
      <w:r>
        <w:rPr>
          <w:rFonts w:ascii="Times New Roman" w:hAnsi="Times New Roman" w:eastAsia="Times New Roman" w:cs="Times New Roman"/>
          <w:spacing w:val="20"/>
          <w:sz w:val="24"/>
          <w:szCs w:val="24"/>
        </w:rPr>
        <w:t xml:space="preserve"> </w:t>
      </w:r>
      <w:r>
        <w:rPr>
          <w:spacing w:val="-3"/>
          <w:sz w:val="24"/>
          <w:szCs w:val="24"/>
        </w:rPr>
        <w:t>项，</w:t>
      </w:r>
      <w:r>
        <w:rPr>
          <w:rFonts w:ascii="Times New Roman" w:hAnsi="Times New Roman" w:eastAsia="Times New Roman" w:cs="Times New Roman"/>
          <w:spacing w:val="-3"/>
          <w:sz w:val="24"/>
          <w:szCs w:val="24"/>
        </w:rPr>
        <w:t>51</w:t>
      </w:r>
      <w:r>
        <w:rPr>
          <w:rFonts w:ascii="Times New Roman" w:hAnsi="Times New Roman" w:eastAsia="Times New Roman" w:cs="Times New Roman"/>
          <w:spacing w:val="21"/>
          <w:sz w:val="24"/>
          <w:szCs w:val="24"/>
        </w:rPr>
        <w:t xml:space="preserve"> </w:t>
      </w:r>
      <w:r>
        <w:rPr>
          <w:spacing w:val="-3"/>
          <w:sz w:val="24"/>
          <w:szCs w:val="24"/>
        </w:rPr>
        <w:t>分）以及试制产品检验合格报告（</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8"/>
          <w:w w:val="101"/>
          <w:sz w:val="24"/>
          <w:szCs w:val="24"/>
        </w:rPr>
        <w:t xml:space="preserve"> </w:t>
      </w:r>
      <w:r>
        <w:rPr>
          <w:spacing w:val="-3"/>
          <w:sz w:val="24"/>
          <w:szCs w:val="24"/>
        </w:rPr>
        <w:t>分）六</w:t>
      </w:r>
      <w:r>
        <w:rPr>
          <w:spacing w:val="-4"/>
          <w:sz w:val="24"/>
          <w:szCs w:val="24"/>
        </w:rPr>
        <w:t>部分，共</w:t>
      </w:r>
      <w:r>
        <w:rPr>
          <w:spacing w:val="-56"/>
          <w:sz w:val="24"/>
          <w:szCs w:val="24"/>
        </w:rPr>
        <w:t xml:space="preserve"> </w:t>
      </w:r>
      <w:r>
        <w:rPr>
          <w:rFonts w:ascii="Times New Roman" w:hAnsi="Times New Roman" w:eastAsia="Times New Roman" w:cs="Times New Roman"/>
          <w:spacing w:val="-4"/>
          <w:sz w:val="24"/>
          <w:szCs w:val="24"/>
        </w:rPr>
        <w:t>43</w:t>
      </w:r>
      <w:r>
        <w:rPr>
          <w:rFonts w:ascii="Times New Roman" w:hAnsi="Times New Roman" w:eastAsia="Times New Roman" w:cs="Times New Roman"/>
          <w:spacing w:val="19"/>
          <w:sz w:val="24"/>
          <w:szCs w:val="24"/>
        </w:rPr>
        <w:t xml:space="preserve"> </w:t>
      </w:r>
      <w:r>
        <w:rPr>
          <w:spacing w:val="-4"/>
          <w:sz w:val="24"/>
          <w:szCs w:val="24"/>
        </w:rPr>
        <w:t>个核查项目</w:t>
      </w:r>
      <w:r>
        <w:rPr>
          <w:spacing w:val="-32"/>
          <w:sz w:val="24"/>
          <w:szCs w:val="24"/>
        </w:rPr>
        <w:t xml:space="preserve"> </w:t>
      </w:r>
      <w:r>
        <w:rPr>
          <w:rFonts w:ascii="Times New Roman" w:hAnsi="Times New Roman" w:eastAsia="Times New Roman" w:cs="Times New Roman"/>
          <w:spacing w:val="-4"/>
          <w:sz w:val="24"/>
          <w:szCs w:val="24"/>
        </w:rPr>
        <w:t>127</w:t>
      </w:r>
      <w:r>
        <w:rPr>
          <w:rFonts w:ascii="Times New Roman" w:hAnsi="Times New Roman" w:eastAsia="Times New Roman" w:cs="Times New Roman"/>
          <w:spacing w:val="21"/>
          <w:w w:val="101"/>
          <w:sz w:val="24"/>
          <w:szCs w:val="24"/>
        </w:rPr>
        <w:t xml:space="preserve"> </w:t>
      </w:r>
      <w:r>
        <w:rPr>
          <w:spacing w:val="-4"/>
          <w:sz w:val="24"/>
          <w:szCs w:val="24"/>
        </w:rPr>
        <w:t>分。</w:t>
      </w:r>
    </w:p>
    <w:p>
      <w:pPr>
        <w:pStyle w:val="2"/>
        <w:spacing w:before="42" w:line="219" w:lineRule="auto"/>
        <w:ind w:left="470"/>
        <w:rPr>
          <w:sz w:val="24"/>
          <w:szCs w:val="24"/>
        </w:rPr>
      </w:pPr>
      <w:r>
        <w:rPr>
          <w:rFonts w:ascii="Times New Roman" w:hAnsi="Times New Roman" w:eastAsia="Times New Roman" w:cs="Times New Roman"/>
          <w:sz w:val="24"/>
          <w:szCs w:val="24"/>
        </w:rPr>
        <w:t xml:space="preserve">4.  </w:t>
      </w:r>
      <w:r>
        <w:rPr>
          <w:sz w:val="24"/>
          <w:szCs w:val="24"/>
        </w:rPr>
        <w:t>核查组应当按照核查项目规定的核查内容及评分标准核查评分，并将发现的问题详实地记录在</w:t>
      </w:r>
      <w:r>
        <w:rPr>
          <w:rFonts w:ascii="Times New Roman" w:hAnsi="Times New Roman" w:eastAsia="Times New Roman" w:cs="Times New Roman"/>
          <w:sz w:val="24"/>
          <w:szCs w:val="24"/>
        </w:rPr>
        <w:t>“</w:t>
      </w:r>
      <w:r>
        <w:rPr>
          <w:sz w:val="24"/>
          <w:szCs w:val="24"/>
        </w:rPr>
        <w:t>核查记录</w:t>
      </w:r>
      <w:r>
        <w:rPr>
          <w:rFonts w:ascii="Times New Roman" w:hAnsi="Times New Roman" w:eastAsia="Times New Roman" w:cs="Times New Roman"/>
          <w:spacing w:val="-1"/>
          <w:sz w:val="24"/>
          <w:szCs w:val="24"/>
        </w:rPr>
        <w:t>”</w:t>
      </w:r>
      <w:r>
        <w:rPr>
          <w:spacing w:val="-1"/>
          <w:sz w:val="24"/>
          <w:szCs w:val="24"/>
        </w:rPr>
        <w:t>栏目中。</w:t>
      </w:r>
    </w:p>
    <w:p>
      <w:pPr>
        <w:pStyle w:val="2"/>
        <w:spacing w:before="135" w:line="315" w:lineRule="auto"/>
        <w:ind w:left="4" w:right="73" w:firstLine="473"/>
        <w:rPr>
          <w:sz w:val="24"/>
          <w:szCs w:val="24"/>
        </w:rPr>
      </w:pPr>
      <w:r>
        <w:rPr>
          <w:rFonts w:ascii="Times New Roman" w:hAnsi="Times New Roman" w:eastAsia="Times New Roman" w:cs="Times New Roman"/>
          <w:spacing w:val="-2"/>
          <w:sz w:val="24"/>
          <w:szCs w:val="24"/>
        </w:rPr>
        <w:t xml:space="preserve">5.  </w:t>
      </w:r>
      <w:r>
        <w:rPr>
          <w:spacing w:val="-2"/>
          <w:sz w:val="24"/>
          <w:szCs w:val="24"/>
        </w:rPr>
        <w:t>现场核查评分原则：现场核查评分标准分为符合要求、基本符合要求、不符合要求。</w:t>
      </w:r>
      <w:r>
        <w:rPr>
          <w:spacing w:val="-3"/>
          <w:sz w:val="24"/>
          <w:szCs w:val="24"/>
        </w:rPr>
        <w:t>符合要求，是指现场核查情况全部符合</w:t>
      </w:r>
      <w:r>
        <w:rPr>
          <w:rFonts w:ascii="Times New Roman" w:hAnsi="Times New Roman" w:eastAsia="Times New Roman" w:cs="Times New Roman"/>
          <w:spacing w:val="-3"/>
          <w:sz w:val="24"/>
          <w:szCs w:val="24"/>
        </w:rPr>
        <w:t>“</w:t>
      </w:r>
      <w:r>
        <w:rPr>
          <w:spacing w:val="-3"/>
          <w:sz w:val="24"/>
          <w:szCs w:val="24"/>
        </w:rPr>
        <w:t>核</w:t>
      </w:r>
      <w:r>
        <w:rPr>
          <w:sz w:val="24"/>
          <w:szCs w:val="24"/>
        </w:rPr>
        <w:t xml:space="preserve"> </w:t>
      </w:r>
      <w:r>
        <w:rPr>
          <w:spacing w:val="-2"/>
          <w:sz w:val="24"/>
          <w:szCs w:val="24"/>
        </w:rPr>
        <w:t>查内容</w:t>
      </w:r>
      <w:r>
        <w:rPr>
          <w:rFonts w:ascii="Times New Roman" w:hAnsi="Times New Roman" w:eastAsia="Times New Roman" w:cs="Times New Roman"/>
          <w:spacing w:val="-2"/>
          <w:sz w:val="24"/>
          <w:szCs w:val="24"/>
        </w:rPr>
        <w:t>”</w:t>
      </w:r>
      <w:r>
        <w:rPr>
          <w:spacing w:val="-2"/>
          <w:sz w:val="24"/>
          <w:szCs w:val="24"/>
        </w:rPr>
        <w:t>要求，得</w:t>
      </w:r>
      <w:r>
        <w:rPr>
          <w:spacing w:val="-46"/>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9"/>
          <w:sz w:val="24"/>
          <w:szCs w:val="24"/>
        </w:rPr>
        <w:t xml:space="preserve"> </w:t>
      </w:r>
      <w:r>
        <w:rPr>
          <w:spacing w:val="-2"/>
          <w:sz w:val="24"/>
          <w:szCs w:val="24"/>
        </w:rPr>
        <w:t>分；基本符合要求，是指现场核查发现的问题属于个别、轻微或偶然发生，不会对食品安全产生严重影响，可在规</w:t>
      </w:r>
      <w:r>
        <w:rPr>
          <w:sz w:val="24"/>
          <w:szCs w:val="24"/>
        </w:rPr>
        <w:t xml:space="preserve"> 定时间内通过整改达到食品安全要求的，得</w:t>
      </w:r>
      <w:r>
        <w:rPr>
          <w:spacing w:val="-32"/>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19"/>
          <w:sz w:val="24"/>
          <w:szCs w:val="24"/>
        </w:rPr>
        <w:t xml:space="preserve"> </w:t>
      </w:r>
      <w:r>
        <w:rPr>
          <w:sz w:val="24"/>
          <w:szCs w:val="24"/>
        </w:rPr>
        <w:t>分；不符合要求，</w:t>
      </w:r>
      <w:r>
        <w:rPr>
          <w:spacing w:val="-1"/>
          <w:sz w:val="24"/>
          <w:szCs w:val="24"/>
        </w:rPr>
        <w:t>是指现场核查发现的问题属于申请人内部普遍、严重、系统性或区域</w:t>
      </w:r>
      <w:r>
        <w:rPr>
          <w:sz w:val="24"/>
          <w:szCs w:val="24"/>
        </w:rPr>
        <w:t xml:space="preserve"> </w:t>
      </w:r>
      <w:r>
        <w:rPr>
          <w:spacing w:val="-3"/>
          <w:sz w:val="24"/>
          <w:szCs w:val="24"/>
        </w:rPr>
        <w:t>性缺陷，可能影响食品安全的，得</w:t>
      </w:r>
      <w:r>
        <w:rPr>
          <w:spacing w:val="-44"/>
          <w:sz w:val="24"/>
          <w:szCs w:val="24"/>
        </w:rPr>
        <w:t xml:space="preserve"> </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19"/>
          <w:sz w:val="24"/>
          <w:szCs w:val="24"/>
        </w:rPr>
        <w:t xml:space="preserve"> </w:t>
      </w:r>
      <w:r>
        <w:rPr>
          <w:spacing w:val="-3"/>
          <w:sz w:val="24"/>
          <w:szCs w:val="24"/>
        </w:rPr>
        <w:t>分。</w:t>
      </w:r>
    </w:p>
    <w:p>
      <w:pPr>
        <w:pStyle w:val="2"/>
        <w:spacing w:before="42" w:line="220" w:lineRule="auto"/>
        <w:ind w:left="480"/>
        <w:rPr>
          <w:sz w:val="24"/>
          <w:szCs w:val="24"/>
        </w:rPr>
      </w:pPr>
      <w:r>
        <w:rPr>
          <w:spacing w:val="-4"/>
          <w:sz w:val="24"/>
          <w:szCs w:val="24"/>
        </w:rPr>
        <w:t>试制产品检验报告核查判定得分为</w:t>
      </w:r>
      <w:r>
        <w:rPr>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9"/>
          <w:sz w:val="24"/>
          <w:szCs w:val="24"/>
        </w:rPr>
        <w:t xml:space="preserve"> </w:t>
      </w:r>
      <w:r>
        <w:rPr>
          <w:spacing w:val="-4"/>
          <w:sz w:val="24"/>
          <w:szCs w:val="24"/>
        </w:rPr>
        <w:t>分、</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1"/>
          <w:sz w:val="24"/>
          <w:szCs w:val="24"/>
        </w:rPr>
        <w:t xml:space="preserve"> </w:t>
      </w:r>
      <w:r>
        <w:rPr>
          <w:spacing w:val="-5"/>
          <w:sz w:val="24"/>
          <w:szCs w:val="24"/>
        </w:rPr>
        <w:t>分和</w:t>
      </w:r>
      <w:r>
        <w:rPr>
          <w:spacing w:val="-51"/>
          <w:sz w:val="24"/>
          <w:szCs w:val="24"/>
        </w:rPr>
        <w:t xml:space="preserve"> </w:t>
      </w:r>
      <w:r>
        <w:rPr>
          <w:rFonts w:ascii="Times New Roman" w:hAnsi="Times New Roman" w:eastAsia="Times New Roman" w:cs="Times New Roman"/>
          <w:spacing w:val="-5"/>
          <w:sz w:val="24"/>
          <w:szCs w:val="24"/>
        </w:rPr>
        <w:t>0</w:t>
      </w:r>
      <w:r>
        <w:rPr>
          <w:rFonts w:ascii="Times New Roman" w:hAnsi="Times New Roman" w:eastAsia="Times New Roman" w:cs="Times New Roman"/>
          <w:spacing w:val="18"/>
          <w:w w:val="101"/>
          <w:sz w:val="24"/>
          <w:szCs w:val="24"/>
        </w:rPr>
        <w:t xml:space="preserve"> </w:t>
      </w:r>
      <w:r>
        <w:rPr>
          <w:spacing w:val="-5"/>
          <w:sz w:val="24"/>
          <w:szCs w:val="24"/>
        </w:rPr>
        <w:t>分。</w:t>
      </w:r>
    </w:p>
    <w:p>
      <w:pPr>
        <w:pStyle w:val="2"/>
        <w:spacing w:before="133" w:line="308" w:lineRule="auto"/>
        <w:ind w:left="7" w:right="75" w:firstLine="469"/>
        <w:rPr>
          <w:sz w:val="24"/>
          <w:szCs w:val="24"/>
        </w:rPr>
      </w:pPr>
      <w:r>
        <w:rPr>
          <w:rFonts w:ascii="Times New Roman" w:hAnsi="Times New Roman" w:eastAsia="Times New Roman" w:cs="Times New Roman"/>
          <w:spacing w:val="-2"/>
          <w:sz w:val="24"/>
          <w:szCs w:val="24"/>
        </w:rPr>
        <w:t xml:space="preserve">6.  </w:t>
      </w:r>
      <w:r>
        <w:rPr>
          <w:spacing w:val="-2"/>
          <w:sz w:val="24"/>
          <w:szCs w:val="24"/>
        </w:rPr>
        <w:t>现场核查结论判定原则：核查项目单项得分无</w:t>
      </w:r>
      <w:r>
        <w:rPr>
          <w:spacing w:val="-52"/>
          <w:sz w:val="24"/>
          <w:szCs w:val="24"/>
        </w:rPr>
        <w:t xml:space="preserve"> </w:t>
      </w:r>
      <w:r>
        <w:rPr>
          <w:rFonts w:ascii="Times New Roman" w:hAnsi="Times New Roman" w:eastAsia="Times New Roman" w:cs="Times New Roman"/>
          <w:spacing w:val="-2"/>
          <w:sz w:val="24"/>
          <w:szCs w:val="24"/>
        </w:rPr>
        <w:t>0</w:t>
      </w:r>
      <w:r>
        <w:rPr>
          <w:rFonts w:ascii="Times New Roman" w:hAnsi="Times New Roman" w:eastAsia="Times New Roman" w:cs="Times New Roman"/>
          <w:spacing w:val="19"/>
          <w:sz w:val="24"/>
          <w:szCs w:val="24"/>
        </w:rPr>
        <w:t xml:space="preserve"> </w:t>
      </w:r>
      <w:r>
        <w:rPr>
          <w:spacing w:val="-2"/>
          <w:sz w:val="24"/>
          <w:szCs w:val="24"/>
        </w:rPr>
        <w:t>分且总得分率</w:t>
      </w:r>
      <w:r>
        <w:rPr>
          <w:rFonts w:ascii="Times New Roman" w:hAnsi="Times New Roman" w:eastAsia="Times New Roman" w:cs="Times New Roman"/>
          <w:spacing w:val="-3"/>
          <w:sz w:val="24"/>
          <w:szCs w:val="24"/>
        </w:rPr>
        <w:t>≥85%</w:t>
      </w:r>
      <w:r>
        <w:rPr>
          <w:spacing w:val="-3"/>
          <w:sz w:val="24"/>
          <w:szCs w:val="24"/>
        </w:rPr>
        <w:t>的，该类别名称及品种明细判定为通过现场核查。当出现以</w:t>
      </w:r>
      <w:r>
        <w:rPr>
          <w:sz w:val="24"/>
          <w:szCs w:val="24"/>
        </w:rPr>
        <w:t xml:space="preserve"> </w:t>
      </w:r>
      <w:r>
        <w:rPr>
          <w:spacing w:val="-1"/>
          <w:sz w:val="24"/>
          <w:szCs w:val="24"/>
        </w:rPr>
        <w:t>下两种情况之一时，该类别名称及品种明细判定为未通过现场核查：</w:t>
      </w:r>
    </w:p>
    <w:p>
      <w:pPr>
        <w:pStyle w:val="2"/>
        <w:spacing w:before="40" w:line="222" w:lineRule="auto"/>
        <w:ind w:left="487"/>
        <w:outlineLvl w:val="0"/>
        <w:rPr>
          <w:sz w:val="24"/>
          <w:szCs w:val="24"/>
        </w:rPr>
      </w:pPr>
      <w:r>
        <w:rPr>
          <w:spacing w:val="-3"/>
          <w:sz w:val="24"/>
          <w:szCs w:val="24"/>
        </w:rPr>
        <w:t>（</w:t>
      </w:r>
      <w:r>
        <w:rPr>
          <w:rFonts w:ascii="Times New Roman" w:hAnsi="Times New Roman" w:eastAsia="Times New Roman" w:cs="Times New Roman"/>
          <w:spacing w:val="-3"/>
          <w:sz w:val="24"/>
          <w:szCs w:val="24"/>
        </w:rPr>
        <w:t>1</w:t>
      </w:r>
      <w:r>
        <w:rPr>
          <w:spacing w:val="-3"/>
          <w:sz w:val="24"/>
          <w:szCs w:val="24"/>
        </w:rPr>
        <w:t>）有一项及以上核查项目得</w:t>
      </w:r>
      <w:r>
        <w:rPr>
          <w:spacing w:val="-47"/>
          <w:sz w:val="24"/>
          <w:szCs w:val="24"/>
        </w:rPr>
        <w:t xml:space="preserve"> </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19"/>
          <w:sz w:val="24"/>
          <w:szCs w:val="24"/>
        </w:rPr>
        <w:t xml:space="preserve"> </w:t>
      </w:r>
      <w:r>
        <w:rPr>
          <w:spacing w:val="-3"/>
          <w:sz w:val="24"/>
          <w:szCs w:val="24"/>
        </w:rPr>
        <w:t>分的；</w:t>
      </w:r>
    </w:p>
    <w:p>
      <w:pPr>
        <w:pStyle w:val="2"/>
        <w:spacing w:before="132" w:line="222" w:lineRule="auto"/>
        <w:ind w:left="487"/>
        <w:outlineLvl w:val="0"/>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）核查项目总得分率＜</w:t>
      </w:r>
      <w:r>
        <w:rPr>
          <w:rFonts w:ascii="Times New Roman" w:hAnsi="Times New Roman" w:eastAsia="Times New Roman" w:cs="Times New Roman"/>
          <w:spacing w:val="-2"/>
          <w:sz w:val="24"/>
          <w:szCs w:val="24"/>
        </w:rPr>
        <w:t>85%</w:t>
      </w:r>
      <w:r>
        <w:rPr>
          <w:spacing w:val="-2"/>
          <w:sz w:val="24"/>
          <w:szCs w:val="24"/>
        </w:rPr>
        <w:t>的。</w:t>
      </w:r>
    </w:p>
    <w:p>
      <w:pPr>
        <w:pStyle w:val="2"/>
        <w:spacing w:before="131" w:line="219" w:lineRule="auto"/>
        <w:ind w:left="475"/>
        <w:rPr>
          <w:sz w:val="24"/>
          <w:szCs w:val="24"/>
        </w:rPr>
      </w:pPr>
      <w:r>
        <w:rPr>
          <w:rFonts w:ascii="Times New Roman" w:hAnsi="Times New Roman" w:eastAsia="Times New Roman" w:cs="Times New Roman"/>
          <w:sz w:val="24"/>
          <w:szCs w:val="24"/>
        </w:rPr>
        <w:t xml:space="preserve">7.  </w:t>
      </w:r>
      <w:r>
        <w:rPr>
          <w:sz w:val="24"/>
          <w:szCs w:val="24"/>
        </w:rPr>
        <w:t>某个核查项目不适用时，不参与评分，并在</w:t>
      </w:r>
      <w:r>
        <w:rPr>
          <w:rFonts w:ascii="Times New Roman" w:hAnsi="Times New Roman" w:eastAsia="Times New Roman" w:cs="Times New Roman"/>
          <w:sz w:val="24"/>
          <w:szCs w:val="24"/>
        </w:rPr>
        <w:t>“</w:t>
      </w:r>
      <w:r>
        <w:rPr>
          <w:sz w:val="24"/>
          <w:szCs w:val="24"/>
        </w:rPr>
        <w:t>核查记录</w:t>
      </w:r>
      <w:r>
        <w:rPr>
          <w:rFonts w:ascii="Times New Roman" w:hAnsi="Times New Roman" w:eastAsia="Times New Roman" w:cs="Times New Roman"/>
          <w:sz w:val="24"/>
          <w:szCs w:val="24"/>
        </w:rPr>
        <w:t>”</w:t>
      </w:r>
      <w:r>
        <w:rPr>
          <w:sz w:val="24"/>
          <w:szCs w:val="24"/>
        </w:rPr>
        <w:t>栏目</w:t>
      </w:r>
      <w:r>
        <w:rPr>
          <w:spacing w:val="-1"/>
          <w:sz w:val="24"/>
          <w:szCs w:val="24"/>
        </w:rPr>
        <w:t>中说明不适用的原因。</w:t>
      </w:r>
    </w:p>
    <w:p>
      <w:pPr>
        <w:spacing w:line="219" w:lineRule="auto"/>
        <w:rPr>
          <w:sz w:val="24"/>
          <w:szCs w:val="24"/>
        </w:rPr>
        <w:sectPr>
          <w:footerReference r:id="rId70" w:type="default"/>
          <w:pgSz w:w="16839" w:h="11906"/>
          <w:pgMar w:top="1012" w:right="1363" w:bottom="1168" w:left="1453" w:header="0" w:footer="994"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1" w:line="228" w:lineRule="auto"/>
        <w:ind w:left="5950"/>
        <w:outlineLvl w:val="0"/>
        <w:rPr>
          <w:rFonts w:ascii="黑体" w:hAnsi="黑体" w:eastAsia="黑体" w:cs="黑体"/>
          <w:sz w:val="31"/>
          <w:szCs w:val="31"/>
        </w:rPr>
      </w:pPr>
      <w:r>
        <w:rPr>
          <w:rFonts w:ascii="黑体" w:hAnsi="黑体" w:eastAsia="黑体" w:cs="黑体"/>
          <w:spacing w:val="4"/>
          <w:sz w:val="31"/>
          <w:szCs w:val="31"/>
        </w:rPr>
        <w:t>一、生产场所（共</w:t>
      </w:r>
      <w:r>
        <w:rPr>
          <w:rFonts w:ascii="黑体" w:hAnsi="黑体" w:eastAsia="黑体" w:cs="黑体"/>
          <w:spacing w:val="-65"/>
          <w:sz w:val="31"/>
          <w:szCs w:val="31"/>
        </w:rPr>
        <w:t xml:space="preserve"> </w:t>
      </w:r>
      <w:r>
        <w:rPr>
          <w:rFonts w:ascii="Times New Roman" w:hAnsi="Times New Roman" w:eastAsia="Times New Roman" w:cs="Times New Roman"/>
          <w:spacing w:val="4"/>
          <w:sz w:val="31"/>
          <w:szCs w:val="31"/>
        </w:rPr>
        <w:t>21</w:t>
      </w:r>
      <w:r>
        <w:rPr>
          <w:rFonts w:ascii="Times New Roman" w:hAnsi="Times New Roman" w:eastAsia="Times New Roman" w:cs="Times New Roman"/>
          <w:spacing w:val="23"/>
          <w:sz w:val="31"/>
          <w:szCs w:val="31"/>
        </w:rPr>
        <w:t xml:space="preserve"> </w:t>
      </w:r>
      <w:r>
        <w:rPr>
          <w:rFonts w:ascii="黑体" w:hAnsi="黑体" w:eastAsia="黑体" w:cs="黑体"/>
          <w:spacing w:val="4"/>
          <w:sz w:val="31"/>
          <w:szCs w:val="31"/>
        </w:rPr>
        <w:t>分）</w:t>
      </w:r>
    </w:p>
    <w:p>
      <w:pPr>
        <w:spacing w:line="134" w:lineRule="exact"/>
      </w:pPr>
    </w:p>
    <w:tbl>
      <w:tblPr>
        <w:tblStyle w:val="5"/>
        <w:tblW w:w="15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720"/>
        <w:gridCol w:w="5233"/>
        <w:gridCol w:w="4723"/>
        <w:gridCol w:w="585"/>
        <w:gridCol w:w="1379"/>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5" w:type="dxa"/>
            <w:textDirection w:val="tbRlV"/>
            <w:vAlign w:val="top"/>
          </w:tcPr>
          <w:p>
            <w:pPr>
              <w:spacing w:before="197" w:line="216" w:lineRule="auto"/>
              <w:ind w:left="62"/>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20" w:type="dxa"/>
            <w:vAlign w:val="top"/>
          </w:tcPr>
          <w:p>
            <w:pPr>
              <w:spacing w:before="61" w:line="272" w:lineRule="auto"/>
              <w:ind w:left="151" w:right="15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33" w:type="dxa"/>
            <w:vAlign w:val="top"/>
          </w:tcPr>
          <w:p>
            <w:pPr>
              <w:spacing w:before="225" w:line="231" w:lineRule="auto"/>
              <w:ind w:left="2197"/>
              <w:rPr>
                <w:rFonts w:ascii="黑体" w:hAnsi="黑体" w:eastAsia="黑体" w:cs="黑体"/>
                <w:sz w:val="20"/>
                <w:szCs w:val="20"/>
              </w:rPr>
            </w:pPr>
            <w:r>
              <w:rPr>
                <w:rFonts w:ascii="黑体" w:hAnsi="黑体" w:eastAsia="黑体" w:cs="黑体"/>
                <w:spacing w:val="7"/>
                <w:sz w:val="20"/>
                <w:szCs w:val="20"/>
              </w:rPr>
              <w:t>核查内容</w:t>
            </w:r>
          </w:p>
        </w:tc>
        <w:tc>
          <w:tcPr>
            <w:tcW w:w="5308" w:type="dxa"/>
            <w:gridSpan w:val="2"/>
            <w:vAlign w:val="top"/>
          </w:tcPr>
          <w:p>
            <w:pPr>
              <w:spacing w:before="225" w:line="230" w:lineRule="auto"/>
              <w:ind w:left="2237"/>
              <w:rPr>
                <w:rFonts w:ascii="黑体" w:hAnsi="黑体" w:eastAsia="黑体" w:cs="黑体"/>
                <w:sz w:val="20"/>
                <w:szCs w:val="20"/>
              </w:rPr>
            </w:pPr>
            <w:r>
              <w:rPr>
                <w:rFonts w:ascii="黑体" w:hAnsi="黑体" w:eastAsia="黑体" w:cs="黑体"/>
                <w:spacing w:val="7"/>
                <w:sz w:val="20"/>
                <w:szCs w:val="20"/>
              </w:rPr>
              <w:t>评分标准</w:t>
            </w:r>
          </w:p>
        </w:tc>
        <w:tc>
          <w:tcPr>
            <w:tcW w:w="1379" w:type="dxa"/>
            <w:vAlign w:val="top"/>
          </w:tcPr>
          <w:p>
            <w:pPr>
              <w:spacing w:before="225" w:line="231" w:lineRule="auto"/>
              <w:ind w:left="274"/>
              <w:rPr>
                <w:rFonts w:ascii="黑体" w:hAnsi="黑体" w:eastAsia="黑体" w:cs="黑体"/>
                <w:sz w:val="20"/>
                <w:szCs w:val="20"/>
              </w:rPr>
            </w:pPr>
            <w:r>
              <w:rPr>
                <w:rFonts w:ascii="黑体" w:hAnsi="黑体" w:eastAsia="黑体" w:cs="黑体"/>
                <w:spacing w:val="7"/>
                <w:sz w:val="20"/>
                <w:szCs w:val="20"/>
              </w:rPr>
              <w:t>核查得分</w:t>
            </w:r>
          </w:p>
        </w:tc>
        <w:tc>
          <w:tcPr>
            <w:tcW w:w="1819" w:type="dxa"/>
            <w:vAlign w:val="top"/>
          </w:tcPr>
          <w:p>
            <w:pPr>
              <w:spacing w:before="225" w:line="230" w:lineRule="auto"/>
              <w:ind w:left="49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7"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p>
        </w:tc>
        <w:tc>
          <w:tcPr>
            <w:tcW w:w="72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85" w:lineRule="auto"/>
              <w:ind w:left="160" w:right="153" w:hanging="4"/>
            </w:pPr>
            <w:r>
              <w:rPr>
                <w:spacing w:val="2"/>
              </w:rPr>
              <w:t>厂区</w:t>
            </w:r>
            <w:r>
              <w:t xml:space="preserve"> </w:t>
            </w:r>
            <w:r>
              <w:rPr>
                <w:spacing w:val="-1"/>
              </w:rPr>
              <w:t>要求</w:t>
            </w:r>
          </w:p>
        </w:tc>
        <w:tc>
          <w:tcPr>
            <w:tcW w:w="5233" w:type="dxa"/>
            <w:vMerge w:val="restart"/>
            <w:tcBorders>
              <w:bottom w:val="nil"/>
            </w:tcBorders>
            <w:vAlign w:val="top"/>
          </w:tcPr>
          <w:p>
            <w:pPr>
              <w:spacing w:line="249" w:lineRule="auto"/>
              <w:rPr>
                <w:rFonts w:ascii="Arial"/>
                <w:sz w:val="21"/>
              </w:rPr>
            </w:pPr>
          </w:p>
          <w:p>
            <w:pPr>
              <w:spacing w:line="250" w:lineRule="auto"/>
              <w:rPr>
                <w:rFonts w:ascii="Arial"/>
                <w:sz w:val="21"/>
              </w:rPr>
            </w:pPr>
          </w:p>
          <w:p>
            <w:pPr>
              <w:pStyle w:val="6"/>
              <w:spacing w:before="65" w:line="295" w:lineRule="auto"/>
              <w:ind w:left="117" w:right="106" w:firstLine="9"/>
              <w:jc w:val="both"/>
            </w:pPr>
            <w:r>
              <w:rPr>
                <w:rFonts w:ascii="Times New Roman" w:hAnsi="Times New Roman" w:eastAsia="Times New Roman" w:cs="Times New Roman"/>
                <w:spacing w:val="8"/>
              </w:rPr>
              <w:t>1.</w:t>
            </w:r>
            <w:r>
              <w:rPr>
                <w:spacing w:val="8"/>
              </w:rPr>
              <w:t>厂区不应选择对食品添加剂有显著污染的区域。厂区</w:t>
            </w:r>
            <w:r>
              <w:rPr>
                <w:spacing w:val="9"/>
              </w:rPr>
              <w:t xml:space="preserve"> </w:t>
            </w:r>
            <w:r>
              <w:rPr>
                <w:spacing w:val="8"/>
              </w:rPr>
              <w:t>周围无虫害大量孳生的潜在场所，无有害废弃物以及粉</w:t>
            </w:r>
            <w:r>
              <w:rPr>
                <w:spacing w:val="10"/>
              </w:rPr>
              <w:t xml:space="preserve"> </w:t>
            </w:r>
            <w:r>
              <w:rPr>
                <w:spacing w:val="8"/>
              </w:rPr>
              <w:t>尘、有害气体、放射性物质和其他扩散性污染源。各类 污染源难以避开时应当有必要的防范措施，能有效清除</w:t>
            </w:r>
            <w:r>
              <w:rPr>
                <w:spacing w:val="10"/>
              </w:rPr>
              <w:t xml:space="preserve"> </w:t>
            </w:r>
            <w:r>
              <w:rPr>
                <w:spacing w:val="8"/>
              </w:rPr>
              <w:t>污染源造成的影响。现场提供的《食品添加剂生产加工</w:t>
            </w:r>
            <w:r>
              <w:rPr>
                <w:spacing w:val="10"/>
              </w:rPr>
              <w:t xml:space="preserve"> </w:t>
            </w:r>
            <w:r>
              <w:rPr>
                <w:spacing w:val="8"/>
              </w:rPr>
              <w:t>场所周围环境平面图》与实际一致。</w:t>
            </w:r>
          </w:p>
        </w:tc>
        <w:tc>
          <w:tcPr>
            <w:tcW w:w="4723" w:type="dxa"/>
            <w:vAlign w:val="top"/>
          </w:tcPr>
          <w:p>
            <w:pPr>
              <w:pStyle w:val="6"/>
              <w:spacing w:before="66" w:line="229" w:lineRule="auto"/>
              <w:ind w:left="123"/>
            </w:pPr>
            <w:r>
              <w:rPr>
                <w:spacing w:val="5"/>
              </w:rPr>
              <w:t>符合规定要求。</w:t>
            </w:r>
          </w:p>
        </w:tc>
        <w:tc>
          <w:tcPr>
            <w:tcW w:w="585" w:type="dxa"/>
            <w:vAlign w:val="top"/>
          </w:tcPr>
          <w:p>
            <w:pPr>
              <w:spacing w:before="104"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bottom w:val="nil"/>
            </w:tcBorders>
            <w:vAlign w:val="top"/>
          </w:tcPr>
          <w:p>
            <w:pPr>
              <w:rPr>
                <w:rFonts w:ascii="Arial"/>
                <w:sz w:val="21"/>
              </w:rPr>
            </w:pPr>
          </w:p>
        </w:tc>
        <w:tc>
          <w:tcPr>
            <w:tcW w:w="4723" w:type="dxa"/>
            <w:vAlign w:val="top"/>
          </w:tcPr>
          <w:p>
            <w:pPr>
              <w:pStyle w:val="6"/>
              <w:spacing w:before="57" w:line="291" w:lineRule="auto"/>
              <w:ind w:left="117" w:right="106" w:firstLine="10"/>
              <w:jc w:val="both"/>
            </w:pPr>
            <w:r>
              <w:rPr>
                <w:rFonts w:ascii="Times New Roman" w:hAnsi="Times New Roman" w:eastAsia="Times New Roman" w:cs="Times New Roman"/>
                <w:spacing w:val="5"/>
              </w:rPr>
              <w:t>1.</w:t>
            </w:r>
            <w:r>
              <w:rPr>
                <w:spacing w:val="5"/>
              </w:rPr>
              <w:t>对厂区周边的污染源有相应的识别、防范或清除</w:t>
            </w:r>
            <w:r>
              <w:rPr>
                <w:spacing w:val="16"/>
              </w:rPr>
              <w:t xml:space="preserve"> </w:t>
            </w:r>
            <w:r>
              <w:rPr>
                <w:spacing w:val="9"/>
              </w:rPr>
              <w:t>措施，但个别措施效果不明显，可通过改善防范</w:t>
            </w:r>
            <w:r>
              <w:rPr>
                <w:spacing w:val="2"/>
              </w:rPr>
              <w:t xml:space="preserve">  </w:t>
            </w:r>
            <w:r>
              <w:rPr>
                <w:spacing w:val="8"/>
              </w:rPr>
              <w:t>措施有效清除污染源造成的影响。</w:t>
            </w:r>
          </w:p>
          <w:p>
            <w:pPr>
              <w:pStyle w:val="6"/>
              <w:spacing w:before="34" w:line="231" w:lineRule="auto"/>
              <w:ind w:left="108"/>
            </w:pPr>
            <w:r>
              <w:rPr>
                <w:rFonts w:ascii="Times New Roman" w:hAnsi="Times New Roman" w:eastAsia="Times New Roman" w:cs="Times New Roman"/>
                <w:spacing w:val="8"/>
              </w:rPr>
              <w:t>2.</w:t>
            </w:r>
            <w:r>
              <w:rPr>
                <w:spacing w:val="8"/>
              </w:rPr>
              <w:t>现场提供的平面图与实际不一致。</w:t>
            </w:r>
          </w:p>
        </w:tc>
        <w:tc>
          <w:tcPr>
            <w:tcW w:w="585" w:type="dxa"/>
            <w:vAlign w:val="top"/>
          </w:tcPr>
          <w:p>
            <w:pPr>
              <w:spacing w:line="261" w:lineRule="auto"/>
              <w:rPr>
                <w:rFonts w:ascii="Arial"/>
                <w:sz w:val="21"/>
              </w:rPr>
            </w:pPr>
          </w:p>
          <w:p>
            <w:pPr>
              <w:spacing w:line="262" w:lineRule="auto"/>
              <w:rPr>
                <w:rFonts w:ascii="Arial"/>
                <w:sz w:val="21"/>
              </w:rPr>
            </w:pPr>
          </w:p>
          <w:p>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61" w:line="283" w:lineRule="auto"/>
              <w:ind w:left="127" w:right="106"/>
            </w:pPr>
            <w:r>
              <w:rPr>
                <w:rFonts w:ascii="Times New Roman" w:hAnsi="Times New Roman" w:eastAsia="Times New Roman" w:cs="Times New Roman"/>
                <w:spacing w:val="5"/>
              </w:rPr>
              <w:t>1.</w:t>
            </w:r>
            <w:r>
              <w:rPr>
                <w:spacing w:val="5"/>
              </w:rPr>
              <w:t>未对厂区周边的污染源进行识别、防范或采取清</w:t>
            </w:r>
            <w:r>
              <w:rPr>
                <w:spacing w:val="16"/>
              </w:rPr>
              <w:t xml:space="preserve"> </w:t>
            </w:r>
            <w:r>
              <w:rPr>
                <w:spacing w:val="1"/>
              </w:rPr>
              <w:t>除措施。</w:t>
            </w:r>
          </w:p>
          <w:p>
            <w:pPr>
              <w:pStyle w:val="6"/>
              <w:spacing w:before="35" w:line="271" w:lineRule="auto"/>
              <w:ind w:left="131" w:right="106" w:hanging="23"/>
            </w:pPr>
            <w:r>
              <w:rPr>
                <w:rFonts w:ascii="Times New Roman" w:hAnsi="Times New Roman" w:eastAsia="Times New Roman" w:cs="Times New Roman"/>
                <w:spacing w:val="5"/>
              </w:rPr>
              <w:t>2.</w:t>
            </w:r>
            <w:r>
              <w:rPr>
                <w:rFonts w:ascii="Times New Roman" w:hAnsi="Times New Roman" w:eastAsia="Times New Roman" w:cs="Times New Roman"/>
                <w:spacing w:val="-14"/>
              </w:rPr>
              <w:t xml:space="preserve"> </w:t>
            </w:r>
            <w:r>
              <w:rPr>
                <w:spacing w:val="5"/>
              </w:rPr>
              <w:t>虽然识别了厂区周边的污染源，但采取的污染源</w:t>
            </w:r>
            <w:r>
              <w:t xml:space="preserve"> </w:t>
            </w:r>
            <w:r>
              <w:rPr>
                <w:spacing w:val="6"/>
              </w:rPr>
              <w:t>防范或清除措施无效果。</w:t>
            </w:r>
          </w:p>
        </w:tc>
        <w:tc>
          <w:tcPr>
            <w:tcW w:w="585" w:type="dxa"/>
            <w:vAlign w:val="top"/>
          </w:tcPr>
          <w:p>
            <w:pPr>
              <w:spacing w:line="263" w:lineRule="auto"/>
              <w:rPr>
                <w:rFonts w:ascii="Arial"/>
                <w:sz w:val="21"/>
              </w:rPr>
            </w:pPr>
          </w:p>
          <w:p>
            <w:pPr>
              <w:spacing w:line="263" w:lineRule="auto"/>
              <w:rPr>
                <w:rFonts w:ascii="Arial"/>
                <w:sz w:val="21"/>
              </w:rPr>
            </w:pPr>
          </w:p>
          <w:p>
            <w:pPr>
              <w:spacing w:before="57"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restart"/>
            <w:tcBorders>
              <w:bottom w:val="nil"/>
            </w:tcBorders>
            <w:vAlign w:val="top"/>
          </w:tcPr>
          <w:p>
            <w:pPr>
              <w:spacing w:line="331" w:lineRule="auto"/>
              <w:rPr>
                <w:rFonts w:ascii="Arial"/>
                <w:sz w:val="21"/>
              </w:rPr>
            </w:pPr>
          </w:p>
          <w:p>
            <w:pPr>
              <w:spacing w:line="332" w:lineRule="auto"/>
              <w:rPr>
                <w:rFonts w:ascii="Arial"/>
                <w:sz w:val="21"/>
              </w:rPr>
            </w:pPr>
          </w:p>
          <w:p>
            <w:pPr>
              <w:pStyle w:val="6"/>
              <w:spacing w:before="65" w:line="295" w:lineRule="auto"/>
              <w:ind w:left="115" w:right="35" w:hanging="8"/>
              <w:jc w:val="both"/>
            </w:pPr>
            <w:r>
              <w:rPr>
                <w:rFonts w:ascii="Times New Roman" w:hAnsi="Times New Roman" w:eastAsia="Times New Roman" w:cs="Times New Roman"/>
                <w:spacing w:val="9"/>
              </w:rPr>
              <w:t>2.</w:t>
            </w:r>
            <w:r>
              <w:rPr>
                <w:spacing w:val="9"/>
              </w:rPr>
              <w:t>厂区环境整洁，无扬尘或积水现象。各功能区划分明</w:t>
            </w:r>
            <w:r>
              <w:rPr>
                <w:spacing w:val="2"/>
              </w:rPr>
              <w:t xml:space="preserve">  </w:t>
            </w:r>
            <w:r>
              <w:rPr>
                <w:spacing w:val="8"/>
              </w:rPr>
              <w:t>显，布局合理。现场提供的《食品添加剂生产加工场所</w:t>
            </w:r>
            <w:r>
              <w:rPr>
                <w:spacing w:val="12"/>
              </w:rPr>
              <w:t xml:space="preserve"> </w:t>
            </w:r>
            <w:r>
              <w:rPr>
                <w:spacing w:val="8"/>
              </w:rPr>
              <w:t>平面图》与实际一致。生活区与生产区保持适当距离或</w:t>
            </w:r>
            <w:r>
              <w:rPr>
                <w:spacing w:val="9"/>
              </w:rPr>
              <w:t xml:space="preserve"> </w:t>
            </w:r>
            <w:r>
              <w:rPr>
                <w:spacing w:val="3"/>
              </w:rPr>
              <w:t>分隔，防止交叉污染。厂区道路应当采用硬质材料铺设。</w:t>
            </w:r>
            <w:r>
              <w:t xml:space="preserve"> </w:t>
            </w:r>
            <w:r>
              <w:rPr>
                <w:spacing w:val="8"/>
              </w:rPr>
              <w:t>厂区绿化应当与生产车间保持适当距离，植被应当定期</w:t>
            </w:r>
            <w:r>
              <w:rPr>
                <w:spacing w:val="9"/>
              </w:rPr>
              <w:t xml:space="preserve"> </w:t>
            </w:r>
            <w:r>
              <w:rPr>
                <w:spacing w:val="7"/>
              </w:rPr>
              <w:t>维护，防止虫害孳生。</w:t>
            </w:r>
          </w:p>
        </w:tc>
        <w:tc>
          <w:tcPr>
            <w:tcW w:w="4723" w:type="dxa"/>
            <w:vAlign w:val="top"/>
          </w:tcPr>
          <w:p>
            <w:pPr>
              <w:pStyle w:val="6"/>
              <w:spacing w:before="68" w:line="229" w:lineRule="auto"/>
              <w:ind w:left="123"/>
            </w:pPr>
            <w:r>
              <w:rPr>
                <w:spacing w:val="5"/>
              </w:rPr>
              <w:t>符合规定要求。</w:t>
            </w:r>
          </w:p>
        </w:tc>
        <w:tc>
          <w:tcPr>
            <w:tcW w:w="585" w:type="dxa"/>
            <w:vAlign w:val="top"/>
          </w:tcPr>
          <w:p>
            <w:pPr>
              <w:spacing w:before="104"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bottom w:val="nil"/>
            </w:tcBorders>
            <w:vAlign w:val="top"/>
          </w:tcPr>
          <w:p>
            <w:pPr>
              <w:rPr>
                <w:rFonts w:ascii="Arial"/>
                <w:sz w:val="21"/>
              </w:rPr>
            </w:pPr>
          </w:p>
        </w:tc>
        <w:tc>
          <w:tcPr>
            <w:tcW w:w="4723" w:type="dxa"/>
            <w:vAlign w:val="top"/>
          </w:tcPr>
          <w:p>
            <w:pPr>
              <w:pStyle w:val="6"/>
              <w:spacing w:before="61" w:line="284" w:lineRule="auto"/>
              <w:ind w:left="117" w:right="106" w:firstLine="11"/>
            </w:pPr>
            <w:r>
              <w:rPr>
                <w:rFonts w:ascii="Times New Roman" w:hAnsi="Times New Roman" w:eastAsia="Times New Roman" w:cs="Times New Roman"/>
                <w:spacing w:val="5"/>
              </w:rPr>
              <w:t>1.</w:t>
            </w:r>
            <w:r>
              <w:rPr>
                <w:spacing w:val="5"/>
              </w:rPr>
              <w:t>厂区环境、布局、功能区划分、绿化带位置及维</w:t>
            </w:r>
            <w:r>
              <w:rPr>
                <w:spacing w:val="16"/>
              </w:rPr>
              <w:t xml:space="preserve"> </w:t>
            </w:r>
            <w:r>
              <w:rPr>
                <w:spacing w:val="8"/>
              </w:rPr>
              <w:t>护等略有不足，检查时未发现明显的污染现象。</w:t>
            </w:r>
          </w:p>
          <w:p>
            <w:pPr>
              <w:pStyle w:val="6"/>
              <w:spacing w:before="37" w:line="231" w:lineRule="auto"/>
              <w:ind w:left="108"/>
            </w:pPr>
            <w:r>
              <w:rPr>
                <w:rFonts w:ascii="Times New Roman" w:hAnsi="Times New Roman" w:eastAsia="Times New Roman" w:cs="Times New Roman"/>
                <w:spacing w:val="8"/>
              </w:rPr>
              <w:t>2.</w:t>
            </w:r>
            <w:r>
              <w:rPr>
                <w:spacing w:val="8"/>
              </w:rPr>
              <w:t>现场提供的平面图与实际不一致。</w:t>
            </w:r>
          </w:p>
        </w:tc>
        <w:tc>
          <w:tcPr>
            <w:tcW w:w="585" w:type="dxa"/>
            <w:vAlign w:val="top"/>
          </w:tcPr>
          <w:p>
            <w:pPr>
              <w:spacing w:line="364" w:lineRule="auto"/>
              <w:rPr>
                <w:rFonts w:ascii="Arial"/>
                <w:sz w:val="21"/>
              </w:rPr>
            </w:pPr>
          </w:p>
          <w:p>
            <w:pPr>
              <w:spacing w:before="5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605"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63" w:line="231" w:lineRule="auto"/>
              <w:ind w:left="128"/>
            </w:pPr>
            <w:r>
              <w:rPr>
                <w:rFonts w:ascii="Times New Roman" w:hAnsi="Times New Roman" w:eastAsia="Times New Roman" w:cs="Times New Roman"/>
                <w:spacing w:val="5"/>
              </w:rPr>
              <w:t>1.</w:t>
            </w:r>
            <w:r>
              <w:rPr>
                <w:spacing w:val="5"/>
              </w:rPr>
              <w:t>厂区环境不整洁。</w:t>
            </w:r>
          </w:p>
          <w:p>
            <w:pPr>
              <w:pStyle w:val="6"/>
              <w:spacing w:before="73" w:line="228" w:lineRule="auto"/>
              <w:ind w:left="108"/>
            </w:pPr>
            <w:r>
              <w:rPr>
                <w:rFonts w:ascii="Times New Roman" w:hAnsi="Times New Roman" w:eastAsia="Times New Roman" w:cs="Times New Roman"/>
                <w:spacing w:val="8"/>
              </w:rPr>
              <w:t>2.</w:t>
            </w:r>
            <w:r>
              <w:rPr>
                <w:spacing w:val="8"/>
              </w:rPr>
              <w:t>厂区布局不合理，存在交叉污染现象。</w:t>
            </w:r>
          </w:p>
          <w:p>
            <w:pPr>
              <w:pStyle w:val="6"/>
              <w:spacing w:before="79" w:line="285" w:lineRule="auto"/>
              <w:ind w:left="118" w:right="106" w:hanging="6"/>
            </w:pPr>
            <w:r>
              <w:rPr>
                <w:rFonts w:ascii="Times New Roman" w:hAnsi="Times New Roman" w:eastAsia="Times New Roman" w:cs="Times New Roman"/>
                <w:spacing w:val="5"/>
              </w:rPr>
              <w:t>3.</w:t>
            </w:r>
            <w:r>
              <w:rPr>
                <w:rFonts w:ascii="Times New Roman" w:hAnsi="Times New Roman" w:eastAsia="Times New Roman" w:cs="Times New Roman"/>
                <w:spacing w:val="-18"/>
              </w:rPr>
              <w:t xml:space="preserve"> </w:t>
            </w:r>
            <w:r>
              <w:rPr>
                <w:spacing w:val="5"/>
              </w:rPr>
              <w:t>生活区与生产区未保持适当距离或分隔，存在交</w:t>
            </w:r>
            <w:r>
              <w:t xml:space="preserve"> </w:t>
            </w:r>
            <w:r>
              <w:rPr>
                <w:spacing w:val="5"/>
              </w:rPr>
              <w:t>叉污染风险。</w:t>
            </w:r>
          </w:p>
          <w:p>
            <w:pPr>
              <w:pStyle w:val="6"/>
              <w:spacing w:before="35" w:line="269" w:lineRule="auto"/>
              <w:ind w:left="129" w:right="106" w:hanging="22"/>
            </w:pPr>
            <w:r>
              <w:rPr>
                <w:rFonts w:ascii="Times New Roman" w:hAnsi="Times New Roman" w:eastAsia="Times New Roman" w:cs="Times New Roman"/>
                <w:spacing w:val="5"/>
              </w:rPr>
              <w:t>4.</w:t>
            </w:r>
            <w:r>
              <w:rPr>
                <w:rFonts w:ascii="Times New Roman" w:hAnsi="Times New Roman" w:eastAsia="Times New Roman" w:cs="Times New Roman"/>
                <w:spacing w:val="-13"/>
              </w:rPr>
              <w:t xml:space="preserve"> </w:t>
            </w:r>
            <w:r>
              <w:rPr>
                <w:spacing w:val="5"/>
              </w:rPr>
              <w:t>绿化带紧邻车间、仓库，有虫害大量孳生和侵入</w:t>
            </w:r>
            <w:r>
              <w:t xml:space="preserve"> </w:t>
            </w:r>
            <w:r>
              <w:rPr>
                <w:spacing w:val="8"/>
              </w:rPr>
              <w:t>生产场所的现象，存在较为严重的污染风险。</w:t>
            </w:r>
          </w:p>
        </w:tc>
        <w:tc>
          <w:tcPr>
            <w:tcW w:w="585"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57"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restart"/>
            <w:tcBorders>
              <w:bottom w:val="nil"/>
            </w:tcBorders>
            <w:vAlign w:val="top"/>
          </w:tcPr>
          <w:p>
            <w:pPr>
              <w:spacing w:before="282"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1.2</w:t>
            </w:r>
          </w:p>
        </w:tc>
        <w:tc>
          <w:tcPr>
            <w:tcW w:w="720" w:type="dxa"/>
            <w:vMerge w:val="restart"/>
            <w:tcBorders>
              <w:bottom w:val="nil"/>
            </w:tcBorders>
            <w:vAlign w:val="top"/>
          </w:tcPr>
          <w:p>
            <w:pPr>
              <w:pStyle w:val="6"/>
              <w:spacing w:before="82" w:line="279" w:lineRule="auto"/>
              <w:ind w:left="156" w:right="153"/>
            </w:pPr>
            <w:r>
              <w:rPr>
                <w:spacing w:val="2"/>
              </w:rPr>
              <w:t>厂房</w:t>
            </w:r>
            <w:r>
              <w:t xml:space="preserve"> </w:t>
            </w:r>
            <w:r>
              <w:rPr>
                <w:spacing w:val="2"/>
              </w:rPr>
              <w:t>和车</w:t>
            </w:r>
          </w:p>
        </w:tc>
        <w:tc>
          <w:tcPr>
            <w:tcW w:w="5233" w:type="dxa"/>
            <w:vMerge w:val="restart"/>
            <w:tcBorders>
              <w:bottom w:val="nil"/>
            </w:tcBorders>
            <w:vAlign w:val="top"/>
          </w:tcPr>
          <w:p>
            <w:pPr>
              <w:pStyle w:val="6"/>
              <w:spacing w:before="82" w:line="279" w:lineRule="auto"/>
              <w:ind w:left="135" w:right="109" w:hanging="8"/>
            </w:pPr>
            <w:r>
              <w:rPr>
                <w:rFonts w:ascii="Times New Roman" w:hAnsi="Times New Roman" w:eastAsia="Times New Roman" w:cs="Times New Roman"/>
                <w:spacing w:val="8"/>
              </w:rPr>
              <w:t>1.</w:t>
            </w:r>
            <w:r>
              <w:rPr>
                <w:spacing w:val="8"/>
              </w:rPr>
              <w:t>应当具有与生产的产品品种、数量相适应的厂房和车</w:t>
            </w:r>
            <w:r>
              <w:rPr>
                <w:spacing w:val="9"/>
              </w:rPr>
              <w:t xml:space="preserve"> </w:t>
            </w:r>
            <w:r>
              <w:rPr>
                <w:spacing w:val="7"/>
              </w:rPr>
              <w:t>间，并根据生产工艺及清洁程度的要求合理布局和划分</w:t>
            </w:r>
          </w:p>
        </w:tc>
        <w:tc>
          <w:tcPr>
            <w:tcW w:w="4723" w:type="dxa"/>
            <w:vAlign w:val="top"/>
          </w:tcPr>
          <w:p>
            <w:pPr>
              <w:pStyle w:val="6"/>
              <w:spacing w:before="71" w:line="229" w:lineRule="auto"/>
              <w:ind w:left="123"/>
            </w:pPr>
            <w:r>
              <w:rPr>
                <w:spacing w:val="5"/>
              </w:rPr>
              <w:t>符合规定要求。</w:t>
            </w:r>
          </w:p>
        </w:tc>
        <w:tc>
          <w:tcPr>
            <w:tcW w:w="585" w:type="dxa"/>
            <w:vAlign w:val="top"/>
          </w:tcPr>
          <w:p>
            <w:pPr>
              <w:spacing w:before="106"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05"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71" w:line="228" w:lineRule="auto"/>
              <w:ind w:left="128"/>
            </w:pPr>
            <w:r>
              <w:rPr>
                <w:rFonts w:ascii="Times New Roman" w:hAnsi="Times New Roman" w:eastAsia="Times New Roman" w:cs="Times New Roman"/>
                <w:spacing w:val="5"/>
              </w:rPr>
              <w:t>1.</w:t>
            </w:r>
            <w:r>
              <w:rPr>
                <w:rFonts w:ascii="Times New Roman" w:hAnsi="Times New Roman" w:eastAsia="Times New Roman" w:cs="Times New Roman"/>
                <w:spacing w:val="-30"/>
              </w:rPr>
              <w:t xml:space="preserve"> </w:t>
            </w:r>
            <w:r>
              <w:rPr>
                <w:spacing w:val="5"/>
              </w:rPr>
              <w:t>作业区布局和划分存在轻微缺陷。现场</w:t>
            </w:r>
            <w:r>
              <w:rPr>
                <w:spacing w:val="4"/>
              </w:rPr>
              <w:t>提供的平</w:t>
            </w:r>
          </w:p>
        </w:tc>
        <w:tc>
          <w:tcPr>
            <w:tcW w:w="585" w:type="dxa"/>
            <w:vAlign w:val="top"/>
          </w:tcPr>
          <w:p>
            <w:pPr>
              <w:spacing w:before="10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1" w:type="default"/>
          <w:pgSz w:w="16839" w:h="11906"/>
          <w:pgMar w:top="1012" w:right="801" w:bottom="1168" w:left="967" w:header="0" w:footer="994" w:gutter="0"/>
          <w:cols w:space="720" w:num="1"/>
        </w:sectPr>
      </w:pPr>
    </w:p>
    <w:p>
      <w:pPr>
        <w:spacing w:before="21"/>
      </w:pPr>
    </w:p>
    <w:p>
      <w:pPr>
        <w:spacing w:before="21"/>
      </w:pPr>
    </w:p>
    <w:p>
      <w:pPr>
        <w:spacing w:before="21"/>
      </w:pPr>
    </w:p>
    <w:tbl>
      <w:tblPr>
        <w:tblStyle w:val="5"/>
        <w:tblW w:w="15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720"/>
        <w:gridCol w:w="5233"/>
        <w:gridCol w:w="4723"/>
        <w:gridCol w:w="585"/>
        <w:gridCol w:w="1379"/>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5" w:type="dxa"/>
            <w:textDirection w:val="tbRlV"/>
            <w:vAlign w:val="top"/>
          </w:tcPr>
          <w:p>
            <w:pPr>
              <w:spacing w:before="197"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20" w:type="dxa"/>
            <w:vAlign w:val="top"/>
          </w:tcPr>
          <w:p>
            <w:pPr>
              <w:spacing w:before="63" w:line="271" w:lineRule="auto"/>
              <w:ind w:left="151" w:right="15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33" w:type="dxa"/>
            <w:vAlign w:val="top"/>
          </w:tcPr>
          <w:p>
            <w:pPr>
              <w:spacing w:before="226" w:line="231" w:lineRule="auto"/>
              <w:ind w:left="2197"/>
              <w:rPr>
                <w:rFonts w:ascii="黑体" w:hAnsi="黑体" w:eastAsia="黑体" w:cs="黑体"/>
                <w:sz w:val="20"/>
                <w:szCs w:val="20"/>
              </w:rPr>
            </w:pPr>
            <w:r>
              <w:rPr>
                <w:rFonts w:ascii="黑体" w:hAnsi="黑体" w:eastAsia="黑体" w:cs="黑体"/>
                <w:spacing w:val="7"/>
                <w:sz w:val="20"/>
                <w:szCs w:val="20"/>
              </w:rPr>
              <w:t>核查内容</w:t>
            </w:r>
          </w:p>
        </w:tc>
        <w:tc>
          <w:tcPr>
            <w:tcW w:w="5308" w:type="dxa"/>
            <w:gridSpan w:val="2"/>
            <w:vAlign w:val="top"/>
          </w:tcPr>
          <w:p>
            <w:pPr>
              <w:spacing w:before="226" w:line="230" w:lineRule="auto"/>
              <w:ind w:left="2237"/>
              <w:rPr>
                <w:rFonts w:ascii="黑体" w:hAnsi="黑体" w:eastAsia="黑体" w:cs="黑体"/>
                <w:sz w:val="20"/>
                <w:szCs w:val="20"/>
              </w:rPr>
            </w:pPr>
            <w:r>
              <w:rPr>
                <w:rFonts w:ascii="黑体" w:hAnsi="黑体" w:eastAsia="黑体" w:cs="黑体"/>
                <w:spacing w:val="7"/>
                <w:sz w:val="20"/>
                <w:szCs w:val="20"/>
              </w:rPr>
              <w:t>评分标准</w:t>
            </w:r>
          </w:p>
        </w:tc>
        <w:tc>
          <w:tcPr>
            <w:tcW w:w="1379" w:type="dxa"/>
            <w:vAlign w:val="top"/>
          </w:tcPr>
          <w:p>
            <w:pPr>
              <w:spacing w:before="226" w:line="231" w:lineRule="auto"/>
              <w:ind w:left="274"/>
              <w:rPr>
                <w:rFonts w:ascii="黑体" w:hAnsi="黑体" w:eastAsia="黑体" w:cs="黑体"/>
                <w:sz w:val="20"/>
                <w:szCs w:val="20"/>
              </w:rPr>
            </w:pPr>
            <w:r>
              <w:rPr>
                <w:rFonts w:ascii="黑体" w:hAnsi="黑体" w:eastAsia="黑体" w:cs="黑体"/>
                <w:spacing w:val="7"/>
                <w:sz w:val="20"/>
                <w:szCs w:val="20"/>
              </w:rPr>
              <w:t>核查得分</w:t>
            </w:r>
          </w:p>
        </w:tc>
        <w:tc>
          <w:tcPr>
            <w:tcW w:w="1819" w:type="dxa"/>
            <w:vAlign w:val="top"/>
          </w:tcPr>
          <w:p>
            <w:pPr>
              <w:spacing w:before="226" w:line="230" w:lineRule="auto"/>
              <w:ind w:left="49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05" w:type="dxa"/>
            <w:vMerge w:val="restart"/>
            <w:tcBorders>
              <w:bottom w:val="nil"/>
            </w:tcBorders>
            <w:vAlign w:val="top"/>
          </w:tcPr>
          <w:p>
            <w:pPr>
              <w:rPr>
                <w:rFonts w:ascii="Arial"/>
                <w:sz w:val="21"/>
              </w:rPr>
            </w:pPr>
          </w:p>
        </w:tc>
        <w:tc>
          <w:tcPr>
            <w:tcW w:w="720" w:type="dxa"/>
            <w:vMerge w:val="restart"/>
            <w:tcBorders>
              <w:bottom w:val="nil"/>
            </w:tcBorders>
            <w:vAlign w:val="top"/>
          </w:tcPr>
          <w:p>
            <w:pPr>
              <w:pStyle w:val="6"/>
              <w:spacing w:before="59" w:line="232" w:lineRule="auto"/>
              <w:ind w:left="282"/>
            </w:pPr>
            <w:r>
              <w:t>间</w:t>
            </w:r>
          </w:p>
        </w:tc>
        <w:tc>
          <w:tcPr>
            <w:tcW w:w="5233" w:type="dxa"/>
            <w:vMerge w:val="restart"/>
            <w:tcBorders>
              <w:bottom w:val="nil"/>
            </w:tcBorders>
            <w:vAlign w:val="top"/>
          </w:tcPr>
          <w:p>
            <w:pPr>
              <w:pStyle w:val="6"/>
              <w:spacing w:before="59" w:line="289" w:lineRule="auto"/>
              <w:ind w:left="118" w:right="106" w:firstLine="1"/>
              <w:jc w:val="both"/>
            </w:pPr>
            <w:r>
              <w:rPr>
                <w:spacing w:val="8"/>
              </w:rPr>
              <w:t>作业区，避免交叉污染；厂房内设置的检验室应当与生 产区域分隔。现场提供的《食品添加剂生产加工场所各</w:t>
            </w:r>
            <w:r>
              <w:rPr>
                <w:spacing w:val="7"/>
              </w:rPr>
              <w:t xml:space="preserve"> </w:t>
            </w:r>
            <w:r>
              <w:rPr>
                <w:spacing w:val="8"/>
              </w:rPr>
              <w:t>功能区间布局平面图》与实际一致。</w:t>
            </w:r>
          </w:p>
        </w:tc>
        <w:tc>
          <w:tcPr>
            <w:tcW w:w="4723" w:type="dxa"/>
            <w:vAlign w:val="top"/>
          </w:tcPr>
          <w:p>
            <w:pPr>
              <w:pStyle w:val="6"/>
              <w:spacing w:before="59" w:line="231" w:lineRule="auto"/>
              <w:ind w:left="122"/>
            </w:pPr>
            <w:r>
              <w:rPr>
                <w:spacing w:val="6"/>
              </w:rPr>
              <w:t>面图与实际不一致。</w:t>
            </w:r>
          </w:p>
          <w:p>
            <w:pPr>
              <w:pStyle w:val="6"/>
              <w:spacing w:before="76" w:line="229" w:lineRule="auto"/>
              <w:ind w:left="108"/>
            </w:pPr>
            <w:r>
              <w:rPr>
                <w:rFonts w:ascii="Times New Roman" w:hAnsi="Times New Roman" w:eastAsia="Times New Roman" w:cs="Times New Roman"/>
                <w:spacing w:val="8"/>
              </w:rPr>
              <w:t>2.</w:t>
            </w:r>
            <w:r>
              <w:rPr>
                <w:spacing w:val="8"/>
              </w:rPr>
              <w:t>厂区各区域及设施的标志不符合要求。</w:t>
            </w:r>
          </w:p>
          <w:p>
            <w:pPr>
              <w:pStyle w:val="6"/>
              <w:spacing w:before="75" w:line="271" w:lineRule="auto"/>
              <w:ind w:left="130" w:right="106" w:hanging="18"/>
            </w:pPr>
            <w:r>
              <w:rPr>
                <w:rFonts w:ascii="Times New Roman" w:hAnsi="Times New Roman" w:eastAsia="Times New Roman" w:cs="Times New Roman"/>
                <w:spacing w:val="6"/>
              </w:rPr>
              <w:t>3.</w:t>
            </w:r>
            <w:r>
              <w:rPr>
                <w:spacing w:val="6"/>
              </w:rPr>
              <w:t>使用、贮存危险化学品场所的警示标志和警示说</w:t>
            </w:r>
            <w:r>
              <w:rPr>
                <w:spacing w:val="9"/>
              </w:rPr>
              <w:t xml:space="preserve"> </w:t>
            </w:r>
            <w:r>
              <w:rPr>
                <w:spacing w:val="4"/>
              </w:rPr>
              <w:t>明不符合要求。</w:t>
            </w:r>
          </w:p>
        </w:tc>
        <w:tc>
          <w:tcPr>
            <w:tcW w:w="585" w:type="dxa"/>
            <w:vAlign w:val="top"/>
          </w:tcPr>
          <w:p>
            <w:pPr>
              <w:rPr>
                <w:rFonts w:ascii="Arial"/>
                <w:sz w:val="21"/>
              </w:rPr>
            </w:pP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1"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61" w:line="294" w:lineRule="auto"/>
              <w:ind w:left="108" w:right="33" w:firstLine="20"/>
            </w:pPr>
            <w:r>
              <w:rPr>
                <w:rFonts w:ascii="Times New Roman" w:hAnsi="Times New Roman" w:eastAsia="Times New Roman" w:cs="Times New Roman"/>
                <w:spacing w:val="5"/>
              </w:rPr>
              <w:t>1.</w:t>
            </w:r>
            <w:r>
              <w:rPr>
                <w:spacing w:val="5"/>
              </w:rPr>
              <w:t>厂房和车间的种类、数量以及厂房面积与空间不</w:t>
            </w:r>
            <w:r>
              <w:rPr>
                <w:spacing w:val="16"/>
              </w:rPr>
              <w:t xml:space="preserve"> </w:t>
            </w:r>
            <w:r>
              <w:rPr>
                <w:spacing w:val="8"/>
              </w:rPr>
              <w:t>能满足生产需求，或者作业区布局和划分不合理。</w:t>
            </w:r>
            <w:r>
              <w:t xml:space="preserve"> </w:t>
            </w:r>
            <w:r>
              <w:rPr>
                <w:rFonts w:ascii="Times New Roman" w:hAnsi="Times New Roman" w:eastAsia="Times New Roman" w:cs="Times New Roman"/>
                <w:spacing w:val="9"/>
              </w:rPr>
              <w:t>2.</w:t>
            </w:r>
            <w:r>
              <w:rPr>
                <w:spacing w:val="9"/>
              </w:rPr>
              <w:t>检验室（过程检验室除外）未与生产区域分隔。</w:t>
            </w:r>
            <w:r>
              <w:rPr>
                <w:spacing w:val="18"/>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26"/>
              </w:rPr>
              <w:t xml:space="preserve"> </w:t>
            </w:r>
            <w:r>
              <w:rPr>
                <w:spacing w:val="8"/>
              </w:rPr>
              <w:t>车间内设置的过程检验室不符合相关区域卫生</w:t>
            </w:r>
            <w:r>
              <w:t xml:space="preserve">   </w:t>
            </w:r>
            <w:r>
              <w:rPr>
                <w:spacing w:val="8"/>
              </w:rPr>
              <w:t>要求，存在交叉污染。</w:t>
            </w:r>
          </w:p>
          <w:p>
            <w:pPr>
              <w:pStyle w:val="6"/>
              <w:spacing w:before="35" w:line="231" w:lineRule="auto"/>
              <w:ind w:left="107"/>
            </w:pPr>
            <w:r>
              <w:rPr>
                <w:rFonts w:ascii="Times New Roman" w:hAnsi="Times New Roman" w:eastAsia="Times New Roman" w:cs="Times New Roman"/>
                <w:spacing w:val="8"/>
              </w:rPr>
              <w:t>4.</w:t>
            </w:r>
            <w:r>
              <w:rPr>
                <w:spacing w:val="8"/>
              </w:rPr>
              <w:t>厂区各区域及设施无标志。</w:t>
            </w:r>
          </w:p>
          <w:p>
            <w:pPr>
              <w:pStyle w:val="6"/>
              <w:spacing w:before="76" w:line="286" w:lineRule="auto"/>
              <w:ind w:left="118" w:right="106" w:hanging="4"/>
            </w:pPr>
            <w:r>
              <w:rPr>
                <w:rFonts w:ascii="Times New Roman" w:hAnsi="Times New Roman" w:eastAsia="Times New Roman" w:cs="Times New Roman"/>
                <w:spacing w:val="6"/>
              </w:rPr>
              <w:t>5.</w:t>
            </w:r>
            <w:r>
              <w:rPr>
                <w:spacing w:val="6"/>
              </w:rPr>
              <w:t>使用、贮存危险化学品的场所无警示标志和警示</w:t>
            </w:r>
            <w:r>
              <w:rPr>
                <w:spacing w:val="8"/>
              </w:rPr>
              <w:t xml:space="preserve"> </w:t>
            </w:r>
            <w:r>
              <w:rPr>
                <w:spacing w:val="1"/>
              </w:rPr>
              <w:t>说明。</w:t>
            </w:r>
          </w:p>
          <w:p>
            <w:pPr>
              <w:pStyle w:val="6"/>
              <w:spacing w:before="10" w:line="238" w:lineRule="auto"/>
              <w:ind w:left="130" w:right="106" w:hanging="17"/>
            </w:pPr>
            <w:r>
              <w:rPr>
                <w:rFonts w:ascii="Times New Roman" w:hAnsi="Times New Roman" w:eastAsia="Times New Roman" w:cs="Times New Roman"/>
                <w:spacing w:val="5"/>
              </w:rPr>
              <w:t>6.</w:t>
            </w:r>
            <w:r>
              <w:rPr>
                <w:rFonts w:ascii="Times New Roman" w:hAnsi="Times New Roman" w:eastAsia="Times New Roman" w:cs="Times New Roman"/>
                <w:spacing w:val="-18"/>
              </w:rPr>
              <w:t xml:space="preserve"> </w:t>
            </w:r>
            <w:r>
              <w:rPr>
                <w:spacing w:val="5"/>
              </w:rPr>
              <w:t>可能产生有害气体、粉尘、污水和废渣等污染源</w:t>
            </w:r>
            <w:r>
              <w:t xml:space="preserve"> </w:t>
            </w:r>
            <w:r>
              <w:rPr>
                <w:spacing w:val="6"/>
              </w:rPr>
              <w:t>的生产场所没有单独设置。</w:t>
            </w:r>
          </w:p>
        </w:tc>
        <w:tc>
          <w:tcPr>
            <w:tcW w:w="58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8"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restart"/>
            <w:tcBorders>
              <w:bottom w:val="nil"/>
            </w:tcBorders>
            <w:vAlign w:val="top"/>
          </w:tcPr>
          <w:p>
            <w:pPr>
              <w:spacing w:line="250" w:lineRule="auto"/>
              <w:rPr>
                <w:rFonts w:ascii="Arial"/>
                <w:sz w:val="21"/>
              </w:rPr>
            </w:pPr>
          </w:p>
          <w:p>
            <w:pPr>
              <w:spacing w:line="250" w:lineRule="auto"/>
              <w:rPr>
                <w:rFonts w:ascii="Arial"/>
                <w:sz w:val="21"/>
              </w:rPr>
            </w:pPr>
          </w:p>
          <w:p>
            <w:pPr>
              <w:pStyle w:val="6"/>
              <w:spacing w:before="65" w:line="295" w:lineRule="auto"/>
              <w:ind w:left="115" w:right="35" w:hanging="8"/>
            </w:pPr>
            <w:r>
              <w:rPr>
                <w:rFonts w:ascii="Times New Roman" w:hAnsi="Times New Roman" w:eastAsia="Times New Roman" w:cs="Times New Roman"/>
                <w:spacing w:val="9"/>
              </w:rPr>
              <w:t>2.</w:t>
            </w:r>
            <w:r>
              <w:rPr>
                <w:spacing w:val="9"/>
              </w:rPr>
              <w:t>车间保持清洁，顶棚、墙壁、门窗和地面应当采用无</w:t>
            </w:r>
            <w:r>
              <w:rPr>
                <w:spacing w:val="2"/>
              </w:rPr>
              <w:t xml:space="preserve">  </w:t>
            </w:r>
            <w:r>
              <w:rPr>
                <w:spacing w:val="10"/>
              </w:rPr>
              <w:t>毒、无味、防渗透、防霉、不易破损脱落的材料建造，</w:t>
            </w:r>
            <w:r>
              <w:rPr>
                <w:spacing w:val="3"/>
              </w:rPr>
              <w:t xml:space="preserve"> 结构合理，易于清洁；顶棚结构不利于冷凝水垂直滴落，</w:t>
            </w:r>
            <w:r>
              <w:t xml:space="preserve"> </w:t>
            </w:r>
            <w:r>
              <w:rPr>
                <w:spacing w:val="9"/>
              </w:rPr>
              <w:t>裸露食品添加剂上方的管路应当有防止灰尘散落及水</w:t>
            </w:r>
            <w:r>
              <w:rPr>
                <w:spacing w:val="2"/>
              </w:rPr>
              <w:t xml:space="preserve">   </w:t>
            </w:r>
            <w:r>
              <w:rPr>
                <w:spacing w:val="8"/>
              </w:rPr>
              <w:t>滴掉落的措施；</w:t>
            </w:r>
            <w:r>
              <w:rPr>
                <w:spacing w:val="-49"/>
              </w:rPr>
              <w:t xml:space="preserve"> </w:t>
            </w:r>
            <w:r>
              <w:rPr>
                <w:spacing w:val="8"/>
              </w:rPr>
              <w:t>门窗应当闭合严密，不透水、不变形，</w:t>
            </w:r>
            <w:r>
              <w:t xml:space="preserve"> </w:t>
            </w:r>
            <w:r>
              <w:rPr>
                <w:spacing w:val="3"/>
              </w:rPr>
              <w:t>并有防止虫害侵入的措施；地面应当平坦防滑、无裂缝。</w:t>
            </w:r>
          </w:p>
        </w:tc>
        <w:tc>
          <w:tcPr>
            <w:tcW w:w="4723" w:type="dxa"/>
            <w:vAlign w:val="top"/>
          </w:tcPr>
          <w:p>
            <w:pPr>
              <w:pStyle w:val="6"/>
              <w:spacing w:before="69" w:line="229" w:lineRule="auto"/>
              <w:ind w:left="123"/>
            </w:pPr>
            <w:r>
              <w:rPr>
                <w:spacing w:val="5"/>
              </w:rPr>
              <w:t>符合规定要求。</w:t>
            </w:r>
          </w:p>
        </w:tc>
        <w:tc>
          <w:tcPr>
            <w:tcW w:w="585" w:type="dxa"/>
            <w:vAlign w:val="top"/>
          </w:tcPr>
          <w:p>
            <w:pPr>
              <w:spacing w:before="106"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bottom w:val="nil"/>
            </w:tcBorders>
            <w:vAlign w:val="top"/>
          </w:tcPr>
          <w:p>
            <w:pPr>
              <w:rPr>
                <w:rFonts w:ascii="Arial"/>
                <w:sz w:val="21"/>
              </w:rPr>
            </w:pPr>
          </w:p>
        </w:tc>
        <w:tc>
          <w:tcPr>
            <w:tcW w:w="4723" w:type="dxa"/>
            <w:vAlign w:val="top"/>
          </w:tcPr>
          <w:p>
            <w:pPr>
              <w:pStyle w:val="6"/>
              <w:spacing w:before="61" w:line="228" w:lineRule="auto"/>
              <w:ind w:left="128"/>
            </w:pPr>
            <w:r>
              <w:rPr>
                <w:rFonts w:ascii="Times New Roman" w:hAnsi="Times New Roman" w:eastAsia="Times New Roman" w:cs="Times New Roman"/>
                <w:spacing w:val="4"/>
              </w:rPr>
              <w:t>1.</w:t>
            </w:r>
            <w:r>
              <w:rPr>
                <w:rFonts w:ascii="Times New Roman" w:hAnsi="Times New Roman" w:eastAsia="Times New Roman" w:cs="Times New Roman"/>
                <w:spacing w:val="-22"/>
              </w:rPr>
              <w:t xml:space="preserve"> </w:t>
            </w:r>
            <w:r>
              <w:rPr>
                <w:spacing w:val="4"/>
              </w:rPr>
              <w:t>车间清洁程度略有不足。</w:t>
            </w:r>
          </w:p>
          <w:p>
            <w:pPr>
              <w:pStyle w:val="6"/>
              <w:spacing w:before="78" w:line="285" w:lineRule="auto"/>
              <w:ind w:left="115" w:right="106" w:hanging="7"/>
            </w:pPr>
            <w:r>
              <w:rPr>
                <w:rFonts w:ascii="Times New Roman" w:hAnsi="Times New Roman" w:eastAsia="Times New Roman" w:cs="Times New Roman"/>
                <w:spacing w:val="5"/>
              </w:rPr>
              <w:t>2.</w:t>
            </w:r>
            <w:r>
              <w:rPr>
                <w:rFonts w:ascii="Times New Roman" w:hAnsi="Times New Roman" w:eastAsia="Times New Roman" w:cs="Times New Roman"/>
                <w:spacing w:val="-14"/>
              </w:rPr>
              <w:t xml:space="preserve"> </w:t>
            </w:r>
            <w:r>
              <w:rPr>
                <w:spacing w:val="5"/>
              </w:rPr>
              <w:t>车间个别部位的顶棚、墙壁、地面和门窗构造有</w:t>
            </w:r>
            <w:r>
              <w:t xml:space="preserve"> </w:t>
            </w:r>
            <w:r>
              <w:rPr>
                <w:spacing w:val="8"/>
              </w:rPr>
              <w:t>缺陷，或者相关防护措施略有不足。</w:t>
            </w:r>
          </w:p>
          <w:p>
            <w:pPr>
              <w:pStyle w:val="6"/>
              <w:spacing w:before="35" w:line="269" w:lineRule="auto"/>
              <w:ind w:left="115" w:right="106" w:hanging="3"/>
            </w:pPr>
            <w:r>
              <w:rPr>
                <w:rFonts w:ascii="Times New Roman" w:hAnsi="Times New Roman" w:eastAsia="Times New Roman" w:cs="Times New Roman"/>
                <w:spacing w:val="6"/>
              </w:rPr>
              <w:t>3.</w:t>
            </w:r>
            <w:r>
              <w:rPr>
                <w:spacing w:val="6"/>
              </w:rPr>
              <w:t>个别裸露食品添加剂上方的管路、装备存在轻微</w:t>
            </w:r>
            <w:r>
              <w:rPr>
                <w:spacing w:val="9"/>
              </w:rPr>
              <w:t xml:space="preserve"> </w:t>
            </w:r>
            <w:r>
              <w:rPr>
                <w:spacing w:val="1"/>
              </w:rPr>
              <w:t>缺陷。</w:t>
            </w:r>
          </w:p>
        </w:tc>
        <w:tc>
          <w:tcPr>
            <w:tcW w:w="585" w:type="dxa"/>
            <w:vAlign w:val="top"/>
          </w:tcPr>
          <w:p>
            <w:pPr>
              <w:spacing w:line="344" w:lineRule="auto"/>
              <w:rPr>
                <w:rFonts w:ascii="Arial"/>
                <w:sz w:val="21"/>
              </w:rPr>
            </w:pPr>
          </w:p>
          <w:p>
            <w:pPr>
              <w:spacing w:line="344" w:lineRule="auto"/>
              <w:rPr>
                <w:rFonts w:ascii="Arial"/>
                <w:sz w:val="21"/>
              </w:rPr>
            </w:pPr>
          </w:p>
          <w:p>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05"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64" w:line="283" w:lineRule="auto"/>
              <w:ind w:left="117" w:right="106" w:firstLine="10"/>
            </w:pPr>
            <w:r>
              <w:rPr>
                <w:rFonts w:ascii="Times New Roman" w:hAnsi="Times New Roman" w:eastAsia="Times New Roman" w:cs="Times New Roman"/>
                <w:spacing w:val="4"/>
              </w:rPr>
              <w:t>1.</w:t>
            </w:r>
            <w:r>
              <w:rPr>
                <w:rFonts w:ascii="Times New Roman" w:hAnsi="Times New Roman" w:eastAsia="Times New Roman" w:cs="Times New Roman"/>
                <w:spacing w:val="-11"/>
              </w:rPr>
              <w:t xml:space="preserve"> </w:t>
            </w:r>
            <w:r>
              <w:rPr>
                <w:spacing w:val="4"/>
              </w:rPr>
              <w:t>车间清洁不洁，严重影响食品添加剂加工卫生条</w:t>
            </w:r>
            <w:r>
              <w:t xml:space="preserve"> </w:t>
            </w:r>
            <w:r>
              <w:rPr>
                <w:spacing w:val="-3"/>
              </w:rPr>
              <w:t>件。</w:t>
            </w:r>
          </w:p>
          <w:p>
            <w:pPr>
              <w:pStyle w:val="6"/>
              <w:spacing w:before="37" w:line="228" w:lineRule="auto"/>
              <w:ind w:left="108"/>
            </w:pPr>
            <w:r>
              <w:rPr>
                <w:rFonts w:ascii="Times New Roman" w:hAnsi="Times New Roman" w:eastAsia="Times New Roman" w:cs="Times New Roman"/>
                <w:spacing w:val="7"/>
              </w:rPr>
              <w:t>2.</w:t>
            </w:r>
            <w:r>
              <w:rPr>
                <w:rFonts w:ascii="Times New Roman" w:hAnsi="Times New Roman" w:eastAsia="Times New Roman" w:cs="Times New Roman"/>
                <w:spacing w:val="-11"/>
              </w:rPr>
              <w:t xml:space="preserve"> </w:t>
            </w:r>
            <w:r>
              <w:rPr>
                <w:spacing w:val="7"/>
              </w:rPr>
              <w:t>车间的顶棚、墙壁、地面和门窗构造缺陷明显，</w:t>
            </w:r>
          </w:p>
        </w:tc>
        <w:tc>
          <w:tcPr>
            <w:tcW w:w="585" w:type="dxa"/>
            <w:vAlign w:val="top"/>
          </w:tcPr>
          <w:p>
            <w:pPr>
              <w:spacing w:line="366" w:lineRule="auto"/>
              <w:rPr>
                <w:rFonts w:ascii="Arial"/>
                <w:sz w:val="21"/>
              </w:rPr>
            </w:pPr>
          </w:p>
          <w:p>
            <w:pPr>
              <w:spacing w:before="58"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2" w:type="default"/>
          <w:pgSz w:w="16839" w:h="11906"/>
          <w:pgMar w:top="1012" w:right="801" w:bottom="1168" w:left="967" w:header="0" w:footer="994" w:gutter="0"/>
          <w:cols w:space="720" w:num="1"/>
        </w:sectPr>
      </w:pPr>
    </w:p>
    <w:p>
      <w:pPr>
        <w:spacing w:before="21"/>
      </w:pPr>
    </w:p>
    <w:p>
      <w:pPr>
        <w:spacing w:before="21"/>
      </w:pPr>
    </w:p>
    <w:p>
      <w:pPr>
        <w:spacing w:before="21"/>
      </w:pPr>
    </w:p>
    <w:tbl>
      <w:tblPr>
        <w:tblStyle w:val="5"/>
        <w:tblW w:w="15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720"/>
        <w:gridCol w:w="5233"/>
        <w:gridCol w:w="4723"/>
        <w:gridCol w:w="585"/>
        <w:gridCol w:w="1379"/>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5" w:type="dxa"/>
            <w:textDirection w:val="tbRlV"/>
            <w:vAlign w:val="top"/>
          </w:tcPr>
          <w:p>
            <w:pPr>
              <w:spacing w:before="197"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20" w:type="dxa"/>
            <w:vAlign w:val="top"/>
          </w:tcPr>
          <w:p>
            <w:pPr>
              <w:spacing w:before="63" w:line="271" w:lineRule="auto"/>
              <w:ind w:left="151" w:right="15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33" w:type="dxa"/>
            <w:vAlign w:val="top"/>
          </w:tcPr>
          <w:p>
            <w:pPr>
              <w:spacing w:before="226" w:line="231" w:lineRule="auto"/>
              <w:ind w:left="2197"/>
              <w:rPr>
                <w:rFonts w:ascii="黑体" w:hAnsi="黑体" w:eastAsia="黑体" w:cs="黑体"/>
                <w:sz w:val="20"/>
                <w:szCs w:val="20"/>
              </w:rPr>
            </w:pPr>
            <w:r>
              <w:rPr>
                <w:rFonts w:ascii="黑体" w:hAnsi="黑体" w:eastAsia="黑体" w:cs="黑体"/>
                <w:spacing w:val="7"/>
                <w:sz w:val="20"/>
                <w:szCs w:val="20"/>
              </w:rPr>
              <w:t>核查内容</w:t>
            </w:r>
          </w:p>
        </w:tc>
        <w:tc>
          <w:tcPr>
            <w:tcW w:w="5308" w:type="dxa"/>
            <w:gridSpan w:val="2"/>
            <w:vAlign w:val="top"/>
          </w:tcPr>
          <w:p>
            <w:pPr>
              <w:spacing w:before="226" w:line="230" w:lineRule="auto"/>
              <w:ind w:left="2237"/>
              <w:rPr>
                <w:rFonts w:ascii="黑体" w:hAnsi="黑体" w:eastAsia="黑体" w:cs="黑体"/>
                <w:sz w:val="20"/>
                <w:szCs w:val="20"/>
              </w:rPr>
            </w:pPr>
            <w:r>
              <w:rPr>
                <w:rFonts w:ascii="黑体" w:hAnsi="黑体" w:eastAsia="黑体" w:cs="黑体"/>
                <w:spacing w:val="7"/>
                <w:sz w:val="20"/>
                <w:szCs w:val="20"/>
              </w:rPr>
              <w:t>评分标准</w:t>
            </w:r>
          </w:p>
        </w:tc>
        <w:tc>
          <w:tcPr>
            <w:tcW w:w="1379" w:type="dxa"/>
            <w:vAlign w:val="top"/>
          </w:tcPr>
          <w:p>
            <w:pPr>
              <w:spacing w:before="226" w:line="231" w:lineRule="auto"/>
              <w:ind w:left="274"/>
              <w:rPr>
                <w:rFonts w:ascii="黑体" w:hAnsi="黑体" w:eastAsia="黑体" w:cs="黑体"/>
                <w:sz w:val="20"/>
                <w:szCs w:val="20"/>
              </w:rPr>
            </w:pPr>
            <w:r>
              <w:rPr>
                <w:rFonts w:ascii="黑体" w:hAnsi="黑体" w:eastAsia="黑体" w:cs="黑体"/>
                <w:spacing w:val="7"/>
                <w:sz w:val="20"/>
                <w:szCs w:val="20"/>
              </w:rPr>
              <w:t>核查得分</w:t>
            </w:r>
          </w:p>
        </w:tc>
        <w:tc>
          <w:tcPr>
            <w:tcW w:w="1819" w:type="dxa"/>
            <w:vAlign w:val="top"/>
          </w:tcPr>
          <w:p>
            <w:pPr>
              <w:spacing w:before="226" w:line="230" w:lineRule="auto"/>
              <w:ind w:left="49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05" w:type="dxa"/>
            <w:vMerge w:val="restart"/>
            <w:tcBorders>
              <w:bottom w:val="nil"/>
            </w:tcBorders>
            <w:vAlign w:val="top"/>
          </w:tcPr>
          <w:p>
            <w:pPr>
              <w:rPr>
                <w:rFonts w:ascii="Arial"/>
                <w:sz w:val="21"/>
              </w:rPr>
            </w:pPr>
          </w:p>
        </w:tc>
        <w:tc>
          <w:tcPr>
            <w:tcW w:w="720" w:type="dxa"/>
            <w:vMerge w:val="restart"/>
            <w:tcBorders>
              <w:bottom w:val="nil"/>
            </w:tcBorders>
            <w:vAlign w:val="top"/>
          </w:tcPr>
          <w:p>
            <w:pPr>
              <w:rPr>
                <w:rFonts w:ascii="Arial"/>
                <w:sz w:val="21"/>
              </w:rPr>
            </w:pPr>
          </w:p>
        </w:tc>
        <w:tc>
          <w:tcPr>
            <w:tcW w:w="5233" w:type="dxa"/>
            <w:vAlign w:val="top"/>
          </w:tcPr>
          <w:p>
            <w:pPr>
              <w:rPr>
                <w:rFonts w:ascii="Arial"/>
                <w:sz w:val="21"/>
              </w:rPr>
            </w:pPr>
          </w:p>
        </w:tc>
        <w:tc>
          <w:tcPr>
            <w:tcW w:w="4723" w:type="dxa"/>
            <w:vAlign w:val="top"/>
          </w:tcPr>
          <w:p>
            <w:pPr>
              <w:pStyle w:val="6"/>
              <w:spacing w:before="60" w:line="228" w:lineRule="auto"/>
              <w:ind w:left="121"/>
            </w:pPr>
            <w:r>
              <w:rPr>
                <w:spacing w:val="6"/>
              </w:rPr>
              <w:t>存在交叉污染现象。</w:t>
            </w:r>
          </w:p>
          <w:p>
            <w:pPr>
              <w:pStyle w:val="6"/>
              <w:spacing w:before="79" w:line="229" w:lineRule="auto"/>
              <w:ind w:left="112"/>
            </w:pPr>
            <w:r>
              <w:rPr>
                <w:rFonts w:ascii="Times New Roman" w:hAnsi="Times New Roman" w:eastAsia="Times New Roman" w:cs="Times New Roman"/>
                <w:spacing w:val="8"/>
              </w:rPr>
              <w:t>3.</w:t>
            </w:r>
            <w:r>
              <w:rPr>
                <w:spacing w:val="8"/>
              </w:rPr>
              <w:t>裸露食品添加剂上方的管路、装备无防控措施。</w:t>
            </w:r>
          </w:p>
        </w:tc>
        <w:tc>
          <w:tcPr>
            <w:tcW w:w="585" w:type="dxa"/>
            <w:vAlign w:val="top"/>
          </w:tcPr>
          <w:p>
            <w:pPr>
              <w:rPr>
                <w:rFonts w:ascii="Arial"/>
                <w:sz w:val="21"/>
              </w:rPr>
            </w:pP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restart"/>
            <w:tcBorders>
              <w:bottom w:val="nil"/>
            </w:tcBorders>
            <w:vAlign w:val="top"/>
          </w:tcPr>
          <w:p>
            <w:pPr>
              <w:spacing w:line="249" w:lineRule="auto"/>
              <w:rPr>
                <w:rFonts w:ascii="Arial"/>
                <w:sz w:val="21"/>
              </w:rPr>
            </w:pPr>
          </w:p>
          <w:p>
            <w:pPr>
              <w:spacing w:line="249" w:lineRule="auto"/>
              <w:rPr>
                <w:rFonts w:ascii="Arial"/>
                <w:sz w:val="21"/>
              </w:rPr>
            </w:pPr>
          </w:p>
          <w:p>
            <w:pPr>
              <w:pStyle w:val="6"/>
              <w:spacing w:before="65" w:line="285" w:lineRule="auto"/>
              <w:ind w:left="116" w:right="140" w:hanging="5"/>
            </w:pPr>
            <w:r>
              <w:rPr>
                <w:rFonts w:ascii="Times New Roman" w:hAnsi="Times New Roman" w:eastAsia="Times New Roman" w:cs="Times New Roman"/>
                <w:spacing w:val="9"/>
              </w:rPr>
              <w:t>3.</w:t>
            </w:r>
            <w:r>
              <w:rPr>
                <w:spacing w:val="9"/>
              </w:rPr>
              <w:t>进出清洁作业区的人流、物流应当有防止交叉污染的</w:t>
            </w:r>
            <w:r>
              <w:t xml:space="preserve"> </w:t>
            </w:r>
            <w:r>
              <w:rPr>
                <w:spacing w:val="1"/>
              </w:rPr>
              <w:t>措施。</w:t>
            </w:r>
          </w:p>
        </w:tc>
        <w:tc>
          <w:tcPr>
            <w:tcW w:w="4723" w:type="dxa"/>
            <w:vAlign w:val="top"/>
          </w:tcPr>
          <w:p>
            <w:pPr>
              <w:pStyle w:val="6"/>
              <w:spacing w:before="66" w:line="229" w:lineRule="auto"/>
              <w:ind w:left="123"/>
            </w:pPr>
            <w:r>
              <w:rPr>
                <w:spacing w:val="5"/>
              </w:rPr>
              <w:t>符合规定要求。</w:t>
            </w:r>
          </w:p>
        </w:tc>
        <w:tc>
          <w:tcPr>
            <w:tcW w:w="585" w:type="dxa"/>
            <w:vAlign w:val="top"/>
          </w:tcPr>
          <w:p>
            <w:pPr>
              <w:spacing w:before="104"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bottom w:val="nil"/>
            </w:tcBorders>
            <w:vAlign w:val="top"/>
          </w:tcPr>
          <w:p>
            <w:pPr>
              <w:rPr>
                <w:rFonts w:ascii="Arial"/>
                <w:sz w:val="21"/>
              </w:rPr>
            </w:pPr>
          </w:p>
        </w:tc>
        <w:tc>
          <w:tcPr>
            <w:tcW w:w="4723" w:type="dxa"/>
            <w:vAlign w:val="top"/>
          </w:tcPr>
          <w:p>
            <w:pPr>
              <w:pStyle w:val="6"/>
              <w:spacing w:before="58" w:line="271" w:lineRule="auto"/>
              <w:ind w:left="129" w:right="204" w:hanging="11"/>
            </w:pPr>
            <w:r>
              <w:rPr>
                <w:spacing w:val="9"/>
              </w:rPr>
              <w:t>个别人流、物流进出清洁作业区的防止交叉污染</w:t>
            </w:r>
            <w:r>
              <w:rPr>
                <w:spacing w:val="4"/>
              </w:rPr>
              <w:t xml:space="preserve"> </w:t>
            </w:r>
            <w:r>
              <w:rPr>
                <w:spacing w:val="6"/>
              </w:rPr>
              <w:t>的措施存在轻微缺陷。</w:t>
            </w:r>
          </w:p>
        </w:tc>
        <w:tc>
          <w:tcPr>
            <w:tcW w:w="585" w:type="dxa"/>
            <w:vAlign w:val="top"/>
          </w:tcPr>
          <w:p>
            <w:pPr>
              <w:spacing w:before="261"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05"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59" w:line="271" w:lineRule="auto"/>
              <w:ind w:left="119" w:right="204"/>
            </w:pPr>
            <w:r>
              <w:rPr>
                <w:spacing w:val="9"/>
              </w:rPr>
              <w:t>清洁作业区的防止人流、物流交叉污染的措施存</w:t>
            </w:r>
            <w:r>
              <w:rPr>
                <w:spacing w:val="2"/>
              </w:rPr>
              <w:t xml:space="preserve"> </w:t>
            </w:r>
            <w:r>
              <w:rPr>
                <w:spacing w:val="5"/>
              </w:rPr>
              <w:t>在严重缺陷。</w:t>
            </w:r>
          </w:p>
        </w:tc>
        <w:tc>
          <w:tcPr>
            <w:tcW w:w="585" w:type="dxa"/>
            <w:vAlign w:val="top"/>
          </w:tcPr>
          <w:p>
            <w:pPr>
              <w:spacing w:before="262"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05"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7"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1.3</w:t>
            </w:r>
          </w:p>
        </w:tc>
        <w:tc>
          <w:tcPr>
            <w:tcW w:w="720"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5" w:line="285" w:lineRule="auto"/>
              <w:ind w:left="160" w:right="153"/>
            </w:pPr>
            <w:r>
              <w:t xml:space="preserve">库房 </w:t>
            </w:r>
            <w:r>
              <w:rPr>
                <w:spacing w:val="-1"/>
              </w:rPr>
              <w:t>要求</w:t>
            </w:r>
          </w:p>
        </w:tc>
        <w:tc>
          <w:tcPr>
            <w:tcW w:w="5233" w:type="dxa"/>
            <w:vMerge w:val="restart"/>
            <w:tcBorders>
              <w:bottom w:val="nil"/>
            </w:tcBorders>
            <w:vAlign w:val="top"/>
          </w:tcPr>
          <w:p>
            <w:pPr>
              <w:spacing w:line="336" w:lineRule="auto"/>
              <w:rPr>
                <w:rFonts w:ascii="Arial"/>
                <w:sz w:val="21"/>
              </w:rPr>
            </w:pPr>
          </w:p>
          <w:p>
            <w:pPr>
              <w:pStyle w:val="6"/>
              <w:spacing w:before="65" w:line="296" w:lineRule="auto"/>
              <w:ind w:left="115" w:right="109" w:firstLine="11"/>
              <w:jc w:val="both"/>
            </w:pPr>
            <w:r>
              <w:rPr>
                <w:rFonts w:ascii="Times New Roman" w:hAnsi="Times New Roman" w:eastAsia="Times New Roman" w:cs="Times New Roman"/>
                <w:spacing w:val="8"/>
              </w:rPr>
              <w:t>1.</w:t>
            </w:r>
            <w:r>
              <w:rPr>
                <w:spacing w:val="8"/>
              </w:rPr>
              <w:t>应当与所生产产品的数量、贮存要求相适应，与《食</w:t>
            </w:r>
            <w:r>
              <w:rPr>
                <w:spacing w:val="9"/>
              </w:rPr>
              <w:t xml:space="preserve"> </w:t>
            </w:r>
            <w:r>
              <w:rPr>
                <w:spacing w:val="8"/>
              </w:rPr>
              <w:t>品添加剂生产加工场所平面图》《食品添加剂生产加工</w:t>
            </w:r>
            <w:r>
              <w:rPr>
                <w:spacing w:val="10"/>
              </w:rPr>
              <w:t xml:space="preserve"> </w:t>
            </w:r>
            <w:r>
              <w:rPr>
                <w:spacing w:val="6"/>
              </w:rPr>
              <w:t>场所各功能区间布局平面图》</w:t>
            </w:r>
            <w:r>
              <w:rPr>
                <w:spacing w:val="-42"/>
              </w:rPr>
              <w:t xml:space="preserve"> </w:t>
            </w:r>
            <w:r>
              <w:rPr>
                <w:spacing w:val="6"/>
              </w:rPr>
              <w:t>中标注的库房一致。库房</w:t>
            </w:r>
            <w:r>
              <w:t xml:space="preserve"> </w:t>
            </w:r>
            <w:r>
              <w:rPr>
                <w:spacing w:val="8"/>
              </w:rPr>
              <w:t>整洁，地面平整，易于维护、清洁，防止虫害侵入和藏</w:t>
            </w:r>
            <w:r>
              <w:rPr>
                <w:spacing w:val="9"/>
              </w:rPr>
              <w:t xml:space="preserve"> </w:t>
            </w:r>
            <w:r>
              <w:rPr>
                <w:spacing w:val="8"/>
              </w:rPr>
              <w:t>匿。必要时库房应当设置相适应的温度、湿度控制等设</w:t>
            </w:r>
            <w:r>
              <w:rPr>
                <w:spacing w:val="10"/>
              </w:rPr>
              <w:t xml:space="preserve"> </w:t>
            </w:r>
            <w:r>
              <w:rPr>
                <w:spacing w:val="-3"/>
              </w:rPr>
              <w:t>施。</w:t>
            </w:r>
          </w:p>
        </w:tc>
        <w:tc>
          <w:tcPr>
            <w:tcW w:w="4723" w:type="dxa"/>
            <w:vAlign w:val="top"/>
          </w:tcPr>
          <w:p>
            <w:pPr>
              <w:pStyle w:val="6"/>
              <w:spacing w:before="68" w:line="229" w:lineRule="auto"/>
              <w:ind w:left="123"/>
            </w:pPr>
            <w:r>
              <w:rPr>
                <w:spacing w:val="5"/>
              </w:rPr>
              <w:t>符合规定要求。</w:t>
            </w:r>
          </w:p>
        </w:tc>
        <w:tc>
          <w:tcPr>
            <w:tcW w:w="585" w:type="dxa"/>
            <w:vAlign w:val="top"/>
          </w:tcPr>
          <w:p>
            <w:pPr>
              <w:spacing w:before="104"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bottom w:val="nil"/>
            </w:tcBorders>
            <w:vAlign w:val="top"/>
          </w:tcPr>
          <w:p>
            <w:pPr>
              <w:rPr>
                <w:rFonts w:ascii="Arial"/>
                <w:sz w:val="21"/>
              </w:rPr>
            </w:pPr>
          </w:p>
        </w:tc>
        <w:tc>
          <w:tcPr>
            <w:tcW w:w="4723" w:type="dxa"/>
            <w:vAlign w:val="top"/>
          </w:tcPr>
          <w:p>
            <w:pPr>
              <w:pStyle w:val="6"/>
              <w:spacing w:before="62" w:line="270" w:lineRule="auto"/>
              <w:ind w:left="108" w:right="918" w:firstLine="20"/>
            </w:pPr>
            <w:r>
              <w:rPr>
                <w:rFonts w:ascii="Times New Roman" w:hAnsi="Times New Roman" w:eastAsia="Times New Roman" w:cs="Times New Roman"/>
                <w:spacing w:val="5"/>
              </w:rPr>
              <w:t>1.</w:t>
            </w:r>
            <w:r>
              <w:rPr>
                <w:rFonts w:ascii="Times New Roman" w:hAnsi="Times New Roman" w:eastAsia="Times New Roman" w:cs="Times New Roman"/>
                <w:spacing w:val="-26"/>
              </w:rPr>
              <w:t xml:space="preserve"> </w:t>
            </w:r>
            <w:r>
              <w:rPr>
                <w:spacing w:val="5"/>
              </w:rPr>
              <w:t>库房整洁程度或者相关设施略有不足。</w:t>
            </w:r>
            <w:r>
              <w:t xml:space="preserve"> </w:t>
            </w:r>
            <w:r>
              <w:rPr>
                <w:rFonts w:ascii="Times New Roman" w:hAnsi="Times New Roman" w:eastAsia="Times New Roman" w:cs="Times New Roman"/>
                <w:spacing w:val="6"/>
              </w:rPr>
              <w:t>2.</w:t>
            </w:r>
            <w:r>
              <w:rPr>
                <w:rFonts w:ascii="Times New Roman" w:hAnsi="Times New Roman" w:eastAsia="Times New Roman" w:cs="Times New Roman"/>
                <w:spacing w:val="-15"/>
              </w:rPr>
              <w:t xml:space="preserve"> </w:t>
            </w:r>
            <w:r>
              <w:rPr>
                <w:spacing w:val="6"/>
              </w:rPr>
              <w:t>实际库房与平面图标注不一致。</w:t>
            </w:r>
          </w:p>
        </w:tc>
        <w:tc>
          <w:tcPr>
            <w:tcW w:w="585" w:type="dxa"/>
            <w:vAlign w:val="top"/>
          </w:tcPr>
          <w:p>
            <w:pPr>
              <w:spacing w:before="260"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61" w:line="231" w:lineRule="auto"/>
              <w:ind w:left="128"/>
            </w:pPr>
            <w:r>
              <w:rPr>
                <w:rFonts w:ascii="Times New Roman" w:hAnsi="Times New Roman" w:eastAsia="Times New Roman" w:cs="Times New Roman"/>
                <w:spacing w:val="6"/>
              </w:rPr>
              <w:t>1.</w:t>
            </w:r>
            <w:r>
              <w:rPr>
                <w:rFonts w:ascii="Times New Roman" w:hAnsi="Times New Roman" w:eastAsia="Times New Roman" w:cs="Times New Roman"/>
                <w:spacing w:val="-16"/>
              </w:rPr>
              <w:t xml:space="preserve"> </w:t>
            </w:r>
            <w:r>
              <w:rPr>
                <w:spacing w:val="6"/>
              </w:rPr>
              <w:t>库房不整洁，顶棚、墙壁、地面破损严重。</w:t>
            </w:r>
          </w:p>
          <w:p>
            <w:pPr>
              <w:pStyle w:val="6"/>
              <w:spacing w:before="77" w:line="281" w:lineRule="auto"/>
              <w:ind w:left="116" w:right="106" w:hanging="8"/>
            </w:pPr>
            <w:r>
              <w:rPr>
                <w:rFonts w:ascii="Times New Roman" w:hAnsi="Times New Roman" w:eastAsia="Times New Roman" w:cs="Times New Roman"/>
                <w:spacing w:val="5"/>
              </w:rPr>
              <w:t>2.</w:t>
            </w:r>
            <w:r>
              <w:rPr>
                <w:rFonts w:ascii="Times New Roman" w:hAnsi="Times New Roman" w:eastAsia="Times New Roman" w:cs="Times New Roman"/>
                <w:spacing w:val="-14"/>
              </w:rPr>
              <w:t xml:space="preserve"> </w:t>
            </w:r>
            <w:r>
              <w:rPr>
                <w:spacing w:val="5"/>
              </w:rPr>
              <w:t>库房种类、面积或贮存条件、防护措施不满足物</w:t>
            </w:r>
            <w:r>
              <w:t xml:space="preserve"> </w:t>
            </w:r>
            <w:r>
              <w:rPr>
                <w:spacing w:val="5"/>
              </w:rPr>
              <w:t>料存储需求。</w:t>
            </w:r>
          </w:p>
          <w:p>
            <w:pPr>
              <w:pStyle w:val="6"/>
              <w:spacing w:before="40" w:line="270" w:lineRule="auto"/>
              <w:ind w:left="116" w:right="257" w:hanging="4"/>
            </w:pPr>
            <w:r>
              <w:rPr>
                <w:rFonts w:ascii="Times New Roman" w:hAnsi="Times New Roman" w:eastAsia="Times New Roman" w:cs="Times New Roman"/>
                <w:spacing w:val="8"/>
              </w:rPr>
              <w:t>3.</w:t>
            </w:r>
            <w:r>
              <w:rPr>
                <w:rFonts w:ascii="Times New Roman" w:hAnsi="Times New Roman" w:eastAsia="Times New Roman" w:cs="Times New Roman"/>
                <w:spacing w:val="-30"/>
              </w:rPr>
              <w:t xml:space="preserve"> </w:t>
            </w:r>
            <w:r>
              <w:rPr>
                <w:spacing w:val="8"/>
              </w:rPr>
              <w:t>库房缺少必要的虫害防控或温度、湿度控制设</w:t>
            </w:r>
            <w:r>
              <w:t xml:space="preserve"> </w:t>
            </w:r>
            <w:r>
              <w:rPr>
                <w:spacing w:val="-3"/>
              </w:rPr>
              <w:t>施。</w:t>
            </w:r>
          </w:p>
        </w:tc>
        <w:tc>
          <w:tcPr>
            <w:tcW w:w="585" w:type="dxa"/>
            <w:vAlign w:val="top"/>
          </w:tcPr>
          <w:p>
            <w:pPr>
              <w:spacing w:line="344" w:lineRule="auto"/>
              <w:rPr>
                <w:rFonts w:ascii="Arial"/>
                <w:sz w:val="21"/>
              </w:rPr>
            </w:pPr>
          </w:p>
          <w:p>
            <w:pPr>
              <w:spacing w:line="344" w:lineRule="auto"/>
              <w:rPr>
                <w:rFonts w:ascii="Arial"/>
                <w:sz w:val="21"/>
              </w:rPr>
            </w:pPr>
          </w:p>
          <w:p>
            <w:pPr>
              <w:spacing w:before="58"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restart"/>
            <w:tcBorders>
              <w:bottom w:val="nil"/>
            </w:tcBorders>
            <w:vAlign w:val="top"/>
          </w:tcPr>
          <w:p>
            <w:pPr>
              <w:spacing w:line="337" w:lineRule="auto"/>
              <w:rPr>
                <w:rFonts w:ascii="Arial"/>
                <w:sz w:val="21"/>
              </w:rPr>
            </w:pPr>
          </w:p>
          <w:p>
            <w:pPr>
              <w:pStyle w:val="6"/>
              <w:spacing w:before="65" w:line="294" w:lineRule="auto"/>
              <w:ind w:left="117" w:right="41" w:hanging="10"/>
              <w:jc w:val="both"/>
            </w:pPr>
            <w:r>
              <w:rPr>
                <w:rFonts w:ascii="Times New Roman" w:hAnsi="Times New Roman" w:eastAsia="Times New Roman" w:cs="Times New Roman"/>
                <w:spacing w:val="9"/>
              </w:rPr>
              <w:t>2.</w:t>
            </w:r>
            <w:r>
              <w:rPr>
                <w:spacing w:val="9"/>
              </w:rPr>
              <w:t>原料、半成品、成品、包装材料等应当依据性质的不</w:t>
            </w:r>
            <w:r>
              <w:rPr>
                <w:spacing w:val="2"/>
              </w:rPr>
              <w:t xml:space="preserve">  </w:t>
            </w:r>
            <w:r>
              <w:rPr>
                <w:spacing w:val="8"/>
              </w:rPr>
              <w:t>同分设库房或分区存放。清洁剂、消毒剂、杀虫剂、润</w:t>
            </w:r>
            <w:r>
              <w:rPr>
                <w:spacing w:val="10"/>
              </w:rPr>
              <w:t xml:space="preserve"> </w:t>
            </w:r>
            <w:r>
              <w:rPr>
                <w:spacing w:val="2"/>
              </w:rPr>
              <w:t>滑剂、燃料等物料应当分别安全包装，与原料、半成品、</w:t>
            </w:r>
            <w:r>
              <w:rPr>
                <w:spacing w:val="18"/>
              </w:rPr>
              <w:t xml:space="preserve"> </w:t>
            </w:r>
            <w:r>
              <w:rPr>
                <w:spacing w:val="2"/>
              </w:rPr>
              <w:t>成品、包装材料等分隔放置。库房内的物料应当与墙壁、</w:t>
            </w:r>
            <w:r>
              <w:rPr>
                <w:spacing w:val="18"/>
              </w:rPr>
              <w:t xml:space="preserve"> </w:t>
            </w:r>
            <w:r>
              <w:rPr>
                <w:spacing w:val="8"/>
              </w:rPr>
              <w:t>地面保持适当距离，并明确标识，防止交叉污染。</w:t>
            </w:r>
          </w:p>
        </w:tc>
        <w:tc>
          <w:tcPr>
            <w:tcW w:w="4723" w:type="dxa"/>
            <w:vAlign w:val="top"/>
          </w:tcPr>
          <w:p>
            <w:pPr>
              <w:pStyle w:val="6"/>
              <w:spacing w:before="69" w:line="229" w:lineRule="auto"/>
              <w:ind w:left="123"/>
            </w:pPr>
            <w:r>
              <w:rPr>
                <w:spacing w:val="5"/>
              </w:rPr>
              <w:t>符合规定要求。</w:t>
            </w:r>
          </w:p>
        </w:tc>
        <w:tc>
          <w:tcPr>
            <w:tcW w:w="585" w:type="dxa"/>
            <w:vAlign w:val="top"/>
          </w:tcPr>
          <w:p>
            <w:pPr>
              <w:spacing w:before="105" w:line="195"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605" w:type="dxa"/>
            <w:vMerge w:val="continue"/>
            <w:tcBorders>
              <w:top w:val="nil"/>
              <w:bottom w:val="nil"/>
            </w:tcBorders>
            <w:vAlign w:val="top"/>
          </w:tcPr>
          <w:p>
            <w:pPr>
              <w:rPr>
                <w:rFonts w:ascii="Arial"/>
                <w:sz w:val="21"/>
              </w:rPr>
            </w:pPr>
          </w:p>
        </w:tc>
        <w:tc>
          <w:tcPr>
            <w:tcW w:w="720" w:type="dxa"/>
            <w:vMerge w:val="continue"/>
            <w:tcBorders>
              <w:top w:val="nil"/>
              <w:bottom w:val="nil"/>
            </w:tcBorders>
            <w:vAlign w:val="top"/>
          </w:tcPr>
          <w:p>
            <w:pPr>
              <w:rPr>
                <w:rFonts w:ascii="Arial"/>
                <w:sz w:val="21"/>
              </w:rPr>
            </w:pPr>
          </w:p>
        </w:tc>
        <w:tc>
          <w:tcPr>
            <w:tcW w:w="5233" w:type="dxa"/>
            <w:vMerge w:val="continue"/>
            <w:tcBorders>
              <w:top w:val="nil"/>
              <w:bottom w:val="nil"/>
            </w:tcBorders>
            <w:vAlign w:val="top"/>
          </w:tcPr>
          <w:p>
            <w:pPr>
              <w:rPr>
                <w:rFonts w:ascii="Arial"/>
                <w:sz w:val="21"/>
              </w:rPr>
            </w:pPr>
          </w:p>
        </w:tc>
        <w:tc>
          <w:tcPr>
            <w:tcW w:w="4723" w:type="dxa"/>
            <w:vAlign w:val="top"/>
          </w:tcPr>
          <w:p>
            <w:pPr>
              <w:pStyle w:val="6"/>
              <w:spacing w:before="62" w:line="228" w:lineRule="auto"/>
              <w:ind w:left="128"/>
            </w:pPr>
            <w:r>
              <w:rPr>
                <w:rFonts w:ascii="Times New Roman" w:hAnsi="Times New Roman" w:eastAsia="Times New Roman" w:cs="Times New Roman"/>
                <w:spacing w:val="7"/>
              </w:rPr>
              <w:t>1.</w:t>
            </w:r>
            <w:r>
              <w:rPr>
                <w:spacing w:val="7"/>
              </w:rPr>
              <w:t>个别批次物料未分库或分区存放。</w:t>
            </w:r>
          </w:p>
          <w:p>
            <w:pPr>
              <w:pStyle w:val="6"/>
              <w:spacing w:before="79" w:line="269" w:lineRule="auto"/>
              <w:ind w:left="112" w:right="710" w:hanging="4"/>
            </w:pPr>
            <w:r>
              <w:rPr>
                <w:rFonts w:ascii="Times New Roman" w:hAnsi="Times New Roman" w:eastAsia="Times New Roman" w:cs="Times New Roman"/>
                <w:spacing w:val="7"/>
              </w:rPr>
              <w:t>2.</w:t>
            </w:r>
            <w:r>
              <w:rPr>
                <w:spacing w:val="7"/>
              </w:rPr>
              <w:t>个别批次物料存放不符合离墙离地要求。</w:t>
            </w:r>
            <w:r>
              <w:rPr>
                <w:spacing w:val="8"/>
              </w:rPr>
              <w:t xml:space="preserve"> </w:t>
            </w:r>
            <w:r>
              <w:rPr>
                <w:rFonts w:ascii="Times New Roman" w:hAnsi="Times New Roman" w:eastAsia="Times New Roman" w:cs="Times New Roman"/>
                <w:spacing w:val="7"/>
              </w:rPr>
              <w:t>3.</w:t>
            </w:r>
            <w:r>
              <w:rPr>
                <w:spacing w:val="7"/>
              </w:rPr>
              <w:t>个别批次物料标识不规范。</w:t>
            </w:r>
          </w:p>
        </w:tc>
        <w:tc>
          <w:tcPr>
            <w:tcW w:w="585" w:type="dxa"/>
            <w:vAlign w:val="top"/>
          </w:tcPr>
          <w:p>
            <w:pPr>
              <w:spacing w:line="365" w:lineRule="auto"/>
              <w:rPr>
                <w:rFonts w:ascii="Arial"/>
                <w:sz w:val="21"/>
              </w:rPr>
            </w:pPr>
          </w:p>
          <w:p>
            <w:pPr>
              <w:spacing w:before="5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605"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5233" w:type="dxa"/>
            <w:vMerge w:val="continue"/>
            <w:tcBorders>
              <w:top w:val="nil"/>
            </w:tcBorders>
            <w:vAlign w:val="top"/>
          </w:tcPr>
          <w:p>
            <w:pPr>
              <w:rPr>
                <w:rFonts w:ascii="Arial"/>
                <w:sz w:val="21"/>
              </w:rPr>
            </w:pPr>
          </w:p>
        </w:tc>
        <w:tc>
          <w:tcPr>
            <w:tcW w:w="4723" w:type="dxa"/>
            <w:vAlign w:val="top"/>
          </w:tcPr>
          <w:p>
            <w:pPr>
              <w:pStyle w:val="6"/>
              <w:spacing w:before="65" w:line="283" w:lineRule="auto"/>
              <w:ind w:left="118" w:right="84" w:firstLine="9"/>
            </w:pPr>
            <w:r>
              <w:rPr>
                <w:rFonts w:ascii="Times New Roman" w:hAnsi="Times New Roman" w:eastAsia="Times New Roman" w:cs="Times New Roman"/>
                <w:spacing w:val="6"/>
              </w:rPr>
              <w:t>1.</w:t>
            </w:r>
            <w:r>
              <w:rPr>
                <w:spacing w:val="6"/>
              </w:rPr>
              <w:t>物料未按规定分库或分区存放现象普遍，原料、</w:t>
            </w:r>
            <w:r>
              <w:rPr>
                <w:spacing w:val="16"/>
              </w:rPr>
              <w:t xml:space="preserve"> </w:t>
            </w:r>
            <w:r>
              <w:rPr>
                <w:spacing w:val="10"/>
              </w:rPr>
              <w:t>半成品、成品、包装材料等与清洁剂、消毒剂、</w:t>
            </w:r>
            <w:r>
              <w:rPr>
                <w:spacing w:val="1"/>
              </w:rPr>
              <w:t xml:space="preserve">  </w:t>
            </w:r>
            <w:r>
              <w:rPr>
                <w:spacing w:val="8"/>
              </w:rPr>
              <w:t>杀虫剂、润滑剂、燃料等物料未分隔存放。</w:t>
            </w:r>
          </w:p>
        </w:tc>
        <w:tc>
          <w:tcPr>
            <w:tcW w:w="585" w:type="dxa"/>
            <w:vAlign w:val="top"/>
          </w:tcPr>
          <w:p>
            <w:pPr>
              <w:spacing w:line="366" w:lineRule="auto"/>
              <w:rPr>
                <w:rFonts w:ascii="Arial"/>
                <w:sz w:val="21"/>
              </w:rPr>
            </w:pPr>
          </w:p>
          <w:p>
            <w:pPr>
              <w:spacing w:before="58" w:line="195"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79"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3" w:type="default"/>
          <w:pgSz w:w="16839" w:h="11906"/>
          <w:pgMar w:top="1012" w:right="801" w:bottom="1168" w:left="967" w:header="0" w:footer="994" w:gutter="0"/>
          <w:cols w:space="720" w:num="1"/>
        </w:sectPr>
      </w:pPr>
    </w:p>
    <w:p>
      <w:pPr>
        <w:spacing w:before="21"/>
      </w:pPr>
    </w:p>
    <w:p>
      <w:pPr>
        <w:spacing w:before="21"/>
      </w:pPr>
    </w:p>
    <w:p>
      <w:pPr>
        <w:spacing w:before="21"/>
      </w:pPr>
    </w:p>
    <w:tbl>
      <w:tblPr>
        <w:tblStyle w:val="5"/>
        <w:tblW w:w="15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720"/>
        <w:gridCol w:w="5233"/>
        <w:gridCol w:w="4723"/>
        <w:gridCol w:w="585"/>
        <w:gridCol w:w="1379"/>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05" w:type="dxa"/>
            <w:textDirection w:val="tbRlV"/>
            <w:vAlign w:val="top"/>
          </w:tcPr>
          <w:p>
            <w:pPr>
              <w:spacing w:before="197"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20" w:type="dxa"/>
            <w:vAlign w:val="top"/>
          </w:tcPr>
          <w:p>
            <w:pPr>
              <w:spacing w:before="64" w:line="270" w:lineRule="auto"/>
              <w:ind w:left="151" w:right="153"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33" w:type="dxa"/>
            <w:vAlign w:val="top"/>
          </w:tcPr>
          <w:p>
            <w:pPr>
              <w:spacing w:before="226" w:line="231" w:lineRule="auto"/>
              <w:ind w:left="2197"/>
              <w:rPr>
                <w:rFonts w:ascii="黑体" w:hAnsi="黑体" w:eastAsia="黑体" w:cs="黑体"/>
                <w:sz w:val="20"/>
                <w:szCs w:val="20"/>
              </w:rPr>
            </w:pPr>
            <w:r>
              <w:rPr>
                <w:rFonts w:ascii="黑体" w:hAnsi="黑体" w:eastAsia="黑体" w:cs="黑体"/>
                <w:spacing w:val="7"/>
                <w:sz w:val="20"/>
                <w:szCs w:val="20"/>
              </w:rPr>
              <w:t>核查内容</w:t>
            </w:r>
          </w:p>
        </w:tc>
        <w:tc>
          <w:tcPr>
            <w:tcW w:w="5308" w:type="dxa"/>
            <w:gridSpan w:val="2"/>
            <w:vAlign w:val="top"/>
          </w:tcPr>
          <w:p>
            <w:pPr>
              <w:spacing w:before="226" w:line="230" w:lineRule="auto"/>
              <w:ind w:left="2237"/>
              <w:rPr>
                <w:rFonts w:ascii="黑体" w:hAnsi="黑体" w:eastAsia="黑体" w:cs="黑体"/>
                <w:sz w:val="20"/>
                <w:szCs w:val="20"/>
              </w:rPr>
            </w:pPr>
            <w:r>
              <w:rPr>
                <w:rFonts w:ascii="黑体" w:hAnsi="黑体" w:eastAsia="黑体" w:cs="黑体"/>
                <w:spacing w:val="7"/>
                <w:sz w:val="20"/>
                <w:szCs w:val="20"/>
              </w:rPr>
              <w:t>评分标准</w:t>
            </w:r>
          </w:p>
        </w:tc>
        <w:tc>
          <w:tcPr>
            <w:tcW w:w="1379" w:type="dxa"/>
            <w:vAlign w:val="top"/>
          </w:tcPr>
          <w:p>
            <w:pPr>
              <w:spacing w:before="226" w:line="231" w:lineRule="auto"/>
              <w:ind w:left="274"/>
              <w:rPr>
                <w:rFonts w:ascii="黑体" w:hAnsi="黑体" w:eastAsia="黑体" w:cs="黑体"/>
                <w:sz w:val="20"/>
                <w:szCs w:val="20"/>
              </w:rPr>
            </w:pPr>
            <w:r>
              <w:rPr>
                <w:rFonts w:ascii="黑体" w:hAnsi="黑体" w:eastAsia="黑体" w:cs="黑体"/>
                <w:spacing w:val="7"/>
                <w:sz w:val="20"/>
                <w:szCs w:val="20"/>
              </w:rPr>
              <w:t>核查得分</w:t>
            </w:r>
          </w:p>
        </w:tc>
        <w:tc>
          <w:tcPr>
            <w:tcW w:w="1819" w:type="dxa"/>
            <w:vAlign w:val="top"/>
          </w:tcPr>
          <w:p>
            <w:pPr>
              <w:spacing w:before="226" w:line="230" w:lineRule="auto"/>
              <w:ind w:left="494"/>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05" w:type="dxa"/>
            <w:vAlign w:val="top"/>
          </w:tcPr>
          <w:p>
            <w:pPr>
              <w:rPr>
                <w:rFonts w:ascii="Arial"/>
                <w:sz w:val="21"/>
              </w:rPr>
            </w:pPr>
          </w:p>
        </w:tc>
        <w:tc>
          <w:tcPr>
            <w:tcW w:w="720" w:type="dxa"/>
            <w:vAlign w:val="top"/>
          </w:tcPr>
          <w:p>
            <w:pPr>
              <w:rPr>
                <w:rFonts w:ascii="Arial"/>
                <w:sz w:val="21"/>
              </w:rPr>
            </w:pPr>
          </w:p>
        </w:tc>
        <w:tc>
          <w:tcPr>
            <w:tcW w:w="5233" w:type="dxa"/>
            <w:vAlign w:val="top"/>
          </w:tcPr>
          <w:p>
            <w:pPr>
              <w:rPr>
                <w:rFonts w:ascii="Arial"/>
                <w:sz w:val="21"/>
              </w:rPr>
            </w:pPr>
          </w:p>
        </w:tc>
        <w:tc>
          <w:tcPr>
            <w:tcW w:w="4723" w:type="dxa"/>
            <w:vAlign w:val="top"/>
          </w:tcPr>
          <w:p>
            <w:pPr>
              <w:pStyle w:val="6"/>
              <w:spacing w:before="62" w:line="228" w:lineRule="auto"/>
              <w:ind w:left="108"/>
            </w:pPr>
            <w:r>
              <w:rPr>
                <w:rFonts w:ascii="Times New Roman" w:hAnsi="Times New Roman" w:eastAsia="Times New Roman" w:cs="Times New Roman"/>
                <w:spacing w:val="8"/>
              </w:rPr>
              <w:t>2.</w:t>
            </w:r>
            <w:r>
              <w:rPr>
                <w:spacing w:val="8"/>
              </w:rPr>
              <w:t>物料不离墙离地存放的现象普遍。</w:t>
            </w:r>
          </w:p>
          <w:p>
            <w:pPr>
              <w:pStyle w:val="6"/>
              <w:spacing w:before="80" w:line="249" w:lineRule="auto"/>
              <w:ind w:left="107" w:right="78" w:firstLine="5"/>
            </w:pPr>
            <w:r>
              <w:rPr>
                <w:rFonts w:ascii="Times New Roman" w:hAnsi="Times New Roman" w:eastAsia="Times New Roman" w:cs="Times New Roman"/>
                <w:spacing w:val="7"/>
              </w:rPr>
              <w:t>3.</w:t>
            </w:r>
            <w:r>
              <w:rPr>
                <w:spacing w:val="7"/>
              </w:rPr>
              <w:t>物料无标识或标识混乱，存在误用、错用风险。</w:t>
            </w:r>
            <w:r>
              <w:rPr>
                <w:spacing w:val="14"/>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16"/>
              </w:rPr>
              <w:t xml:space="preserve"> </w:t>
            </w:r>
            <w:r>
              <w:rPr>
                <w:spacing w:val="7"/>
              </w:rPr>
              <w:t>危险化学品无专用仓库、罐区、贮存场所。</w:t>
            </w:r>
          </w:p>
        </w:tc>
        <w:tc>
          <w:tcPr>
            <w:tcW w:w="585" w:type="dxa"/>
            <w:vAlign w:val="top"/>
          </w:tcPr>
          <w:p>
            <w:pPr>
              <w:rPr>
                <w:rFonts w:ascii="Arial"/>
                <w:sz w:val="21"/>
              </w:rPr>
            </w:pPr>
          </w:p>
        </w:tc>
        <w:tc>
          <w:tcPr>
            <w:tcW w:w="1379" w:type="dxa"/>
            <w:vAlign w:val="top"/>
          </w:tcPr>
          <w:p>
            <w:pPr>
              <w:rPr>
                <w:rFonts w:ascii="Arial"/>
                <w:sz w:val="21"/>
              </w:rPr>
            </w:pPr>
          </w:p>
        </w:tc>
        <w:tc>
          <w:tcPr>
            <w:tcW w:w="1819" w:type="dxa"/>
            <w:vAlign w:val="top"/>
          </w:tcPr>
          <w:p>
            <w:pPr>
              <w:rPr>
                <w:rFonts w:ascii="Arial"/>
                <w:sz w:val="21"/>
              </w:rPr>
            </w:pPr>
          </w:p>
        </w:tc>
      </w:tr>
    </w:tbl>
    <w:p>
      <w:pPr>
        <w:spacing w:line="271" w:lineRule="auto"/>
        <w:rPr>
          <w:rFonts w:ascii="Arial"/>
          <w:sz w:val="21"/>
        </w:rPr>
      </w:pPr>
    </w:p>
    <w:p>
      <w:pPr>
        <w:spacing w:before="101" w:line="227" w:lineRule="auto"/>
        <w:ind w:left="5950"/>
        <w:outlineLvl w:val="0"/>
        <w:rPr>
          <w:rFonts w:ascii="黑体" w:hAnsi="黑体" w:eastAsia="黑体" w:cs="黑体"/>
          <w:sz w:val="31"/>
          <w:szCs w:val="31"/>
        </w:rPr>
      </w:pPr>
      <w:r>
        <w:rPr>
          <w:rFonts w:ascii="黑体" w:hAnsi="黑体" w:eastAsia="黑体" w:cs="黑体"/>
          <w:spacing w:val="3"/>
          <w:sz w:val="31"/>
          <w:szCs w:val="31"/>
        </w:rPr>
        <w:t>二、设备设施（共</w:t>
      </w:r>
      <w:r>
        <w:rPr>
          <w:rFonts w:ascii="黑体" w:hAnsi="黑体" w:eastAsia="黑体" w:cs="黑体"/>
          <w:spacing w:val="-53"/>
          <w:sz w:val="31"/>
          <w:szCs w:val="31"/>
        </w:rPr>
        <w:t xml:space="preserve"> </w:t>
      </w:r>
      <w:r>
        <w:rPr>
          <w:rFonts w:ascii="Times New Roman" w:hAnsi="Times New Roman" w:eastAsia="Times New Roman" w:cs="Times New Roman"/>
          <w:spacing w:val="3"/>
          <w:sz w:val="31"/>
          <w:szCs w:val="31"/>
        </w:rPr>
        <w:t>36</w:t>
      </w:r>
      <w:r>
        <w:rPr>
          <w:rFonts w:ascii="Times New Roman" w:hAnsi="Times New Roman" w:eastAsia="Times New Roman" w:cs="Times New Roman"/>
          <w:spacing w:val="23"/>
          <w:sz w:val="31"/>
          <w:szCs w:val="31"/>
        </w:rPr>
        <w:t xml:space="preserve"> </w:t>
      </w:r>
      <w:r>
        <w:rPr>
          <w:rFonts w:ascii="黑体" w:hAnsi="黑体" w:eastAsia="黑体" w:cs="黑体"/>
          <w:spacing w:val="3"/>
          <w:sz w:val="31"/>
          <w:szCs w:val="31"/>
        </w:rPr>
        <w:t>分）</w:t>
      </w:r>
    </w:p>
    <w:p>
      <w:pPr>
        <w:spacing w:line="134" w:lineRule="exact"/>
      </w:pPr>
    </w:p>
    <w:tbl>
      <w:tblPr>
        <w:tblStyle w:val="5"/>
        <w:tblW w:w="1497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09"/>
        <w:gridCol w:w="5220"/>
        <w:gridCol w:w="4811"/>
        <w:gridCol w:w="467"/>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extDirection w:val="tbRlV"/>
            <w:vAlign w:val="top"/>
          </w:tcPr>
          <w:p>
            <w:pPr>
              <w:spacing w:before="180"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09" w:type="dxa"/>
            <w:vAlign w:val="top"/>
          </w:tcPr>
          <w:p>
            <w:pPr>
              <w:spacing w:before="63" w:line="271" w:lineRule="auto"/>
              <w:ind w:left="145" w:right="14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20" w:type="dxa"/>
            <w:vAlign w:val="top"/>
          </w:tcPr>
          <w:p>
            <w:pPr>
              <w:spacing w:before="226" w:line="231" w:lineRule="auto"/>
              <w:ind w:left="2193"/>
              <w:rPr>
                <w:rFonts w:ascii="黑体" w:hAnsi="黑体" w:eastAsia="黑体" w:cs="黑体"/>
                <w:sz w:val="20"/>
                <w:szCs w:val="20"/>
              </w:rPr>
            </w:pPr>
            <w:r>
              <w:rPr>
                <w:rFonts w:ascii="黑体" w:hAnsi="黑体" w:eastAsia="黑体" w:cs="黑体"/>
                <w:spacing w:val="7"/>
                <w:sz w:val="20"/>
                <w:szCs w:val="20"/>
              </w:rPr>
              <w:t>核查内容</w:t>
            </w:r>
          </w:p>
        </w:tc>
        <w:tc>
          <w:tcPr>
            <w:tcW w:w="5278" w:type="dxa"/>
            <w:gridSpan w:val="2"/>
            <w:vAlign w:val="top"/>
          </w:tcPr>
          <w:p>
            <w:pPr>
              <w:spacing w:before="227" w:line="230" w:lineRule="auto"/>
              <w:ind w:left="2222"/>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1" w:lineRule="auto"/>
              <w:ind w:left="282"/>
              <w:rPr>
                <w:rFonts w:ascii="黑体" w:hAnsi="黑体" w:eastAsia="黑体" w:cs="黑体"/>
                <w:sz w:val="20"/>
                <w:szCs w:val="20"/>
              </w:rPr>
            </w:pPr>
            <w:r>
              <w:rPr>
                <w:rFonts w:ascii="黑体" w:hAnsi="黑体" w:eastAsia="黑体" w:cs="黑体"/>
                <w:spacing w:val="7"/>
                <w:sz w:val="20"/>
                <w:szCs w:val="20"/>
              </w:rPr>
              <w:t>核查得分</w:t>
            </w:r>
          </w:p>
        </w:tc>
        <w:tc>
          <w:tcPr>
            <w:tcW w:w="1804" w:type="dxa"/>
            <w:vAlign w:val="top"/>
          </w:tcPr>
          <w:p>
            <w:pPr>
              <w:spacing w:before="227" w:line="230" w:lineRule="auto"/>
              <w:ind w:left="48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57" w:line="195" w:lineRule="auto"/>
              <w:ind w:left="1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70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5" w:line="227" w:lineRule="auto"/>
              <w:ind w:left="159"/>
            </w:pPr>
            <w:r>
              <w:rPr>
                <w:spacing w:val="-2"/>
              </w:rPr>
              <w:t>生产</w:t>
            </w:r>
          </w:p>
          <w:p>
            <w:pPr>
              <w:pStyle w:val="6"/>
              <w:spacing w:before="35" w:line="226" w:lineRule="auto"/>
              <w:ind w:left="151"/>
            </w:pPr>
            <w:r>
              <w:rPr>
                <w:spacing w:val="2"/>
              </w:rPr>
              <w:t>和研</w:t>
            </w:r>
          </w:p>
          <w:p>
            <w:pPr>
              <w:pStyle w:val="6"/>
              <w:spacing w:before="33" w:line="227" w:lineRule="auto"/>
              <w:ind w:left="146"/>
            </w:pPr>
            <w:r>
              <w:rPr>
                <w:spacing w:val="4"/>
              </w:rPr>
              <w:t>发设</w:t>
            </w:r>
          </w:p>
          <w:p>
            <w:pPr>
              <w:pStyle w:val="6"/>
              <w:spacing w:before="34" w:line="228" w:lineRule="auto"/>
              <w:ind w:left="254"/>
            </w:pPr>
            <w:r>
              <w:t>备</w:t>
            </w:r>
          </w:p>
        </w:tc>
        <w:tc>
          <w:tcPr>
            <w:tcW w:w="5220"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65" w:line="244" w:lineRule="auto"/>
              <w:ind w:left="119" w:right="105" w:firstLine="8"/>
            </w:pPr>
            <w:r>
              <w:rPr>
                <w:rFonts w:ascii="Times New Roman" w:hAnsi="Times New Roman" w:eastAsia="Times New Roman" w:cs="Times New Roman"/>
                <w:spacing w:val="9"/>
              </w:rPr>
              <w:t>1.</w:t>
            </w:r>
            <w:r>
              <w:rPr>
                <w:spacing w:val="9"/>
              </w:rPr>
              <w:t>应当配备与生产的和研发产品品种、数量相适应的生</w:t>
            </w:r>
            <w:r>
              <w:rPr>
                <w:spacing w:val="3"/>
              </w:rPr>
              <w:t xml:space="preserve"> </w:t>
            </w:r>
            <w:r>
              <w:rPr>
                <w:spacing w:val="8"/>
              </w:rPr>
              <w:t>产设备，设备的性能和精度应当满足生产加工的</w:t>
            </w:r>
            <w:r>
              <w:rPr>
                <w:spacing w:val="7"/>
              </w:rPr>
              <w:t>要求。</w:t>
            </w:r>
          </w:p>
        </w:tc>
        <w:tc>
          <w:tcPr>
            <w:tcW w:w="4811" w:type="dxa"/>
            <w:vAlign w:val="top"/>
          </w:tcPr>
          <w:p>
            <w:pPr>
              <w:pStyle w:val="6"/>
              <w:spacing w:before="75" w:line="229" w:lineRule="auto"/>
              <w:ind w:left="122"/>
            </w:pPr>
            <w:r>
              <w:rPr>
                <w:spacing w:val="5"/>
              </w:rPr>
              <w:t>符合规定要求。</w:t>
            </w:r>
          </w:p>
        </w:tc>
        <w:tc>
          <w:tcPr>
            <w:tcW w:w="467" w:type="dxa"/>
            <w:vAlign w:val="top"/>
          </w:tcPr>
          <w:p>
            <w:pPr>
              <w:spacing w:before="110"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45" w:line="243" w:lineRule="auto"/>
              <w:ind w:left="119" w:right="106" w:firstLine="8"/>
            </w:pPr>
            <w:r>
              <w:rPr>
                <w:rFonts w:ascii="Times New Roman" w:hAnsi="Times New Roman" w:eastAsia="Times New Roman" w:cs="Times New Roman"/>
                <w:spacing w:val="9"/>
              </w:rPr>
              <w:t>1.</w:t>
            </w:r>
            <w:r>
              <w:rPr>
                <w:spacing w:val="9"/>
              </w:rPr>
              <w:t>具备满足产品生产工艺和研发所需的设备，但个</w:t>
            </w:r>
            <w:r>
              <w:rPr>
                <w:spacing w:val="13"/>
              </w:rPr>
              <w:t xml:space="preserve"> </w:t>
            </w:r>
            <w:r>
              <w:rPr>
                <w:spacing w:val="8"/>
              </w:rPr>
              <w:t>别设备的性能和精度略有不足。</w:t>
            </w:r>
          </w:p>
          <w:p>
            <w:pPr>
              <w:pStyle w:val="6"/>
              <w:spacing w:before="32" w:line="244" w:lineRule="auto"/>
              <w:ind w:left="118" w:right="106" w:hanging="11"/>
            </w:pPr>
            <w:r>
              <w:rPr>
                <w:rFonts w:ascii="Times New Roman" w:hAnsi="Times New Roman" w:eastAsia="Times New Roman" w:cs="Times New Roman"/>
                <w:spacing w:val="10"/>
              </w:rPr>
              <w:t>2.</w:t>
            </w:r>
            <w:r>
              <w:rPr>
                <w:spacing w:val="10"/>
              </w:rPr>
              <w:t xml:space="preserve">使用敞开式车间的，对敞开式车间物料添加口和 </w:t>
            </w:r>
            <w:r>
              <w:rPr>
                <w:spacing w:val="8"/>
              </w:rPr>
              <w:t>产品灌装处安全防护存在瑕疵。</w:t>
            </w:r>
          </w:p>
          <w:p>
            <w:pPr>
              <w:pStyle w:val="6"/>
              <w:spacing w:before="30" w:line="235" w:lineRule="auto"/>
              <w:ind w:left="124" w:right="106" w:hanging="12"/>
            </w:pPr>
            <w:r>
              <w:rPr>
                <w:rFonts w:ascii="Times New Roman" w:hAnsi="Times New Roman" w:eastAsia="Times New Roman" w:cs="Times New Roman"/>
                <w:spacing w:val="9"/>
              </w:rPr>
              <w:t>3.</w:t>
            </w:r>
            <w:r>
              <w:rPr>
                <w:rFonts w:ascii="Times New Roman" w:hAnsi="Times New Roman" w:eastAsia="Times New Roman" w:cs="Times New Roman"/>
                <w:spacing w:val="-21"/>
              </w:rPr>
              <w:t xml:space="preserve"> </w:t>
            </w:r>
            <w:r>
              <w:rPr>
                <w:spacing w:val="9"/>
              </w:rPr>
              <w:t>与设备连接的主要固定管道，标明管内物料流向</w:t>
            </w:r>
            <w:r>
              <w:t xml:space="preserve"> </w:t>
            </w:r>
            <w:r>
              <w:rPr>
                <w:spacing w:val="5"/>
              </w:rPr>
              <w:t>等标识存在瑕疵。</w:t>
            </w:r>
          </w:p>
        </w:tc>
        <w:tc>
          <w:tcPr>
            <w:tcW w:w="467" w:type="dxa"/>
            <w:vAlign w:val="top"/>
          </w:tcPr>
          <w:p>
            <w:pPr>
              <w:spacing w:line="359" w:lineRule="auto"/>
              <w:rPr>
                <w:rFonts w:ascii="Arial"/>
                <w:sz w:val="21"/>
              </w:rPr>
            </w:pPr>
          </w:p>
          <w:p>
            <w:pPr>
              <w:spacing w:line="359" w:lineRule="auto"/>
              <w:rPr>
                <w:rFonts w:ascii="Arial"/>
                <w:sz w:val="21"/>
              </w:rPr>
            </w:pPr>
          </w:p>
          <w:p>
            <w:pPr>
              <w:spacing w:before="58"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96" w:line="251" w:lineRule="auto"/>
              <w:ind w:left="107" w:right="106" w:firstLine="20"/>
            </w:pPr>
            <w:r>
              <w:rPr>
                <w:rFonts w:ascii="Times New Roman" w:hAnsi="Times New Roman" w:eastAsia="Times New Roman" w:cs="Times New Roman"/>
                <w:spacing w:val="8"/>
              </w:rPr>
              <w:t>1.</w:t>
            </w:r>
            <w:r>
              <w:rPr>
                <w:rFonts w:ascii="Times New Roman" w:hAnsi="Times New Roman" w:eastAsia="Times New Roman" w:cs="Times New Roman"/>
                <w:spacing w:val="-22"/>
              </w:rPr>
              <w:t xml:space="preserve"> </w:t>
            </w:r>
            <w:r>
              <w:rPr>
                <w:spacing w:val="8"/>
              </w:rPr>
              <w:t>不具备满足产品的生产工艺和研发所需的设备。</w:t>
            </w:r>
            <w:r>
              <w:t xml:space="preserve"> </w:t>
            </w:r>
            <w:r>
              <w:rPr>
                <w:rFonts w:ascii="Times New Roman" w:hAnsi="Times New Roman" w:eastAsia="Times New Roman" w:cs="Times New Roman"/>
                <w:spacing w:val="9"/>
              </w:rPr>
              <w:t>2.</w:t>
            </w:r>
            <w:r>
              <w:rPr>
                <w:rFonts w:ascii="Times New Roman" w:hAnsi="Times New Roman" w:eastAsia="Times New Roman" w:cs="Times New Roman"/>
                <w:spacing w:val="-21"/>
              </w:rPr>
              <w:t xml:space="preserve"> </w:t>
            </w:r>
            <w:r>
              <w:rPr>
                <w:spacing w:val="9"/>
              </w:rPr>
              <w:t>生产设备的数量、性能不能满足生产加</w:t>
            </w:r>
            <w:r>
              <w:rPr>
                <w:spacing w:val="8"/>
              </w:rPr>
              <w:t>工要求。</w:t>
            </w:r>
            <w:r>
              <w:t xml:space="preserve"> </w:t>
            </w:r>
            <w:r>
              <w:rPr>
                <w:rFonts w:ascii="Times New Roman" w:hAnsi="Times New Roman" w:eastAsia="Times New Roman" w:cs="Times New Roman"/>
                <w:spacing w:val="10"/>
              </w:rPr>
              <w:t>3.</w:t>
            </w:r>
            <w:r>
              <w:rPr>
                <w:spacing w:val="10"/>
              </w:rPr>
              <w:t xml:space="preserve">使用敞开式车间的，没有对敞开式车间物料添加 </w:t>
            </w:r>
            <w:r>
              <w:rPr>
                <w:spacing w:val="8"/>
              </w:rPr>
              <w:t>口和产品灌装处进行安全防护。</w:t>
            </w:r>
          </w:p>
          <w:p>
            <w:pPr>
              <w:pStyle w:val="6"/>
              <w:spacing w:before="29" w:line="246" w:lineRule="auto"/>
              <w:ind w:left="116" w:right="135" w:hanging="10"/>
            </w:pPr>
            <w:r>
              <w:rPr>
                <w:rFonts w:ascii="Times New Roman" w:hAnsi="Times New Roman" w:eastAsia="Times New Roman" w:cs="Times New Roman"/>
                <w:spacing w:val="8"/>
              </w:rPr>
              <w:t>4.</w:t>
            </w:r>
            <w:r>
              <w:rPr>
                <w:rFonts w:ascii="Times New Roman" w:hAnsi="Times New Roman" w:eastAsia="Times New Roman" w:cs="Times New Roman"/>
                <w:spacing w:val="-22"/>
              </w:rPr>
              <w:t xml:space="preserve"> </w:t>
            </w:r>
            <w:r>
              <w:rPr>
                <w:spacing w:val="8"/>
              </w:rPr>
              <w:t>与设备连接的主要固定管道，没有标明管内物料</w:t>
            </w:r>
            <w:r>
              <w:t xml:space="preserve"> </w:t>
            </w:r>
            <w:r>
              <w:rPr>
                <w:spacing w:val="3"/>
              </w:rPr>
              <w:t>流向等。</w:t>
            </w:r>
          </w:p>
        </w:tc>
        <w:tc>
          <w:tcPr>
            <w:tcW w:w="467"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58"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restart"/>
            <w:tcBorders>
              <w:bottom w:val="nil"/>
            </w:tcBorders>
            <w:vAlign w:val="top"/>
          </w:tcPr>
          <w:p>
            <w:pPr>
              <w:pStyle w:val="6"/>
              <w:spacing w:before="85" w:line="248" w:lineRule="auto"/>
              <w:ind w:left="115" w:right="49" w:hanging="8"/>
              <w:jc w:val="both"/>
            </w:pPr>
            <w:r>
              <w:rPr>
                <w:rFonts w:ascii="Times New Roman" w:hAnsi="Times New Roman" w:eastAsia="Times New Roman" w:cs="Times New Roman"/>
                <w:spacing w:val="9"/>
              </w:rPr>
              <w:t>2.</w:t>
            </w:r>
            <w:r>
              <w:rPr>
                <w:rFonts w:ascii="Times New Roman" w:hAnsi="Times New Roman" w:eastAsia="Times New Roman" w:cs="Times New Roman"/>
                <w:spacing w:val="-23"/>
              </w:rPr>
              <w:t xml:space="preserve"> </w:t>
            </w:r>
            <w:r>
              <w:rPr>
                <w:spacing w:val="9"/>
              </w:rPr>
              <w:t>生产设备清洁卫生，直接接触原料、半成品</w:t>
            </w:r>
            <w:r>
              <w:rPr>
                <w:spacing w:val="8"/>
              </w:rPr>
              <w:t>、成品的</w:t>
            </w:r>
            <w:r>
              <w:t xml:space="preserve"> </w:t>
            </w:r>
            <w:r>
              <w:rPr>
                <w:spacing w:val="2"/>
              </w:rPr>
              <w:t>设备、工器具材质应当无毒、无味、抗腐蚀、不易</w:t>
            </w:r>
            <w:r>
              <w:rPr>
                <w:spacing w:val="1"/>
              </w:rPr>
              <w:t>脱落，</w:t>
            </w:r>
            <w:r>
              <w:t xml:space="preserve"> </w:t>
            </w:r>
            <w:r>
              <w:rPr>
                <w:spacing w:val="8"/>
              </w:rPr>
              <w:t>表面光滑、无吸收性，易于清洁保养和消毒。</w:t>
            </w:r>
          </w:p>
        </w:tc>
        <w:tc>
          <w:tcPr>
            <w:tcW w:w="4811" w:type="dxa"/>
            <w:vAlign w:val="top"/>
          </w:tcPr>
          <w:p>
            <w:pPr>
              <w:pStyle w:val="6"/>
              <w:spacing w:before="80" w:line="229" w:lineRule="auto"/>
              <w:ind w:left="122"/>
            </w:pPr>
            <w:r>
              <w:rPr>
                <w:spacing w:val="5"/>
              </w:rPr>
              <w:t>符合规定要求。</w:t>
            </w:r>
          </w:p>
        </w:tc>
        <w:tc>
          <w:tcPr>
            <w:tcW w:w="467" w:type="dxa"/>
            <w:vAlign w:val="top"/>
          </w:tcPr>
          <w:p>
            <w:pPr>
              <w:spacing w:before="115"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7" w:line="235" w:lineRule="auto"/>
              <w:ind w:left="107" w:right="1847" w:firstLine="20"/>
            </w:pPr>
            <w:r>
              <w:rPr>
                <w:rFonts w:ascii="Times New Roman" w:hAnsi="Times New Roman" w:eastAsia="Times New Roman" w:cs="Times New Roman"/>
                <w:spacing w:val="5"/>
              </w:rPr>
              <w:t>1.</w:t>
            </w:r>
            <w:r>
              <w:rPr>
                <w:spacing w:val="5"/>
              </w:rPr>
              <w:t>设备清洁卫生程度略有不足。</w:t>
            </w:r>
            <w:r>
              <w:rPr>
                <w:spacing w:val="4"/>
              </w:rPr>
              <w:t xml:space="preserve"> </w:t>
            </w:r>
            <w:r>
              <w:rPr>
                <w:rFonts w:ascii="Times New Roman" w:hAnsi="Times New Roman" w:eastAsia="Times New Roman" w:cs="Times New Roman"/>
                <w:spacing w:val="7"/>
              </w:rPr>
              <w:t>2.</w:t>
            </w:r>
            <w:r>
              <w:rPr>
                <w:spacing w:val="7"/>
              </w:rPr>
              <w:t>设备表面结构略有不足。</w:t>
            </w:r>
          </w:p>
        </w:tc>
        <w:tc>
          <w:tcPr>
            <w:tcW w:w="467" w:type="dxa"/>
            <w:vAlign w:val="top"/>
          </w:tcPr>
          <w:p>
            <w:pPr>
              <w:spacing w:before="226"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4" w:type="default"/>
          <w:pgSz w:w="16839" w:h="11906"/>
          <w:pgMar w:top="1012" w:right="801" w:bottom="1168" w:left="967" w:header="0" w:footer="994" w:gutter="0"/>
          <w:cols w:space="720" w:num="1"/>
        </w:sectPr>
      </w:pPr>
    </w:p>
    <w:p>
      <w:pPr>
        <w:spacing w:before="21"/>
      </w:pPr>
    </w:p>
    <w:p>
      <w:pPr>
        <w:spacing w:before="21"/>
      </w:pPr>
    </w:p>
    <w:p>
      <w:pPr>
        <w:spacing w:before="21"/>
      </w:pPr>
    </w:p>
    <w:tbl>
      <w:tblPr>
        <w:tblStyle w:val="5"/>
        <w:tblW w:w="14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09"/>
        <w:gridCol w:w="5220"/>
        <w:gridCol w:w="4811"/>
        <w:gridCol w:w="467"/>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extDirection w:val="tbRlV"/>
            <w:vAlign w:val="top"/>
          </w:tcPr>
          <w:p>
            <w:pPr>
              <w:spacing w:before="180"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09" w:type="dxa"/>
            <w:vAlign w:val="top"/>
          </w:tcPr>
          <w:p>
            <w:pPr>
              <w:spacing w:before="63" w:line="271" w:lineRule="auto"/>
              <w:ind w:left="145" w:right="14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20" w:type="dxa"/>
            <w:vAlign w:val="top"/>
          </w:tcPr>
          <w:p>
            <w:pPr>
              <w:spacing w:before="226" w:line="231" w:lineRule="auto"/>
              <w:ind w:left="2193"/>
              <w:rPr>
                <w:rFonts w:ascii="黑体" w:hAnsi="黑体" w:eastAsia="黑体" w:cs="黑体"/>
                <w:sz w:val="20"/>
                <w:szCs w:val="20"/>
              </w:rPr>
            </w:pPr>
            <w:r>
              <w:rPr>
                <w:rFonts w:ascii="黑体" w:hAnsi="黑体" w:eastAsia="黑体" w:cs="黑体"/>
                <w:spacing w:val="7"/>
                <w:sz w:val="20"/>
                <w:szCs w:val="20"/>
              </w:rPr>
              <w:t>核查内容</w:t>
            </w:r>
          </w:p>
        </w:tc>
        <w:tc>
          <w:tcPr>
            <w:tcW w:w="5278" w:type="dxa"/>
            <w:gridSpan w:val="2"/>
            <w:vAlign w:val="top"/>
          </w:tcPr>
          <w:p>
            <w:pPr>
              <w:spacing w:before="226" w:line="230" w:lineRule="auto"/>
              <w:ind w:left="2222"/>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1" w:lineRule="auto"/>
              <w:ind w:left="282"/>
              <w:rPr>
                <w:rFonts w:ascii="黑体" w:hAnsi="黑体" w:eastAsia="黑体" w:cs="黑体"/>
                <w:sz w:val="20"/>
                <w:szCs w:val="20"/>
              </w:rPr>
            </w:pPr>
            <w:r>
              <w:rPr>
                <w:rFonts w:ascii="黑体" w:hAnsi="黑体" w:eastAsia="黑体" w:cs="黑体"/>
                <w:spacing w:val="7"/>
                <w:sz w:val="20"/>
                <w:szCs w:val="20"/>
              </w:rPr>
              <w:t>核查得分</w:t>
            </w:r>
          </w:p>
        </w:tc>
        <w:tc>
          <w:tcPr>
            <w:tcW w:w="1804" w:type="dxa"/>
            <w:vAlign w:val="top"/>
          </w:tcPr>
          <w:p>
            <w:pPr>
              <w:spacing w:before="226" w:line="230" w:lineRule="auto"/>
              <w:ind w:left="48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vMerge w:val="restart"/>
            <w:tcBorders>
              <w:bottom w:val="nil"/>
            </w:tcBorders>
            <w:vAlign w:val="top"/>
          </w:tcPr>
          <w:p>
            <w:pPr>
              <w:rPr>
                <w:rFonts w:ascii="Arial"/>
                <w:sz w:val="21"/>
              </w:rPr>
            </w:pPr>
          </w:p>
        </w:tc>
        <w:tc>
          <w:tcPr>
            <w:tcW w:w="709" w:type="dxa"/>
            <w:vMerge w:val="restart"/>
            <w:tcBorders>
              <w:bottom w:val="nil"/>
            </w:tcBorders>
            <w:vAlign w:val="top"/>
          </w:tcPr>
          <w:p>
            <w:pPr>
              <w:rPr>
                <w:rFonts w:ascii="Arial"/>
                <w:sz w:val="21"/>
              </w:rPr>
            </w:pPr>
          </w:p>
        </w:tc>
        <w:tc>
          <w:tcPr>
            <w:tcW w:w="5220" w:type="dxa"/>
            <w:vAlign w:val="top"/>
          </w:tcPr>
          <w:p>
            <w:pPr>
              <w:rPr>
                <w:rFonts w:ascii="Arial"/>
                <w:sz w:val="21"/>
              </w:rPr>
            </w:pPr>
          </w:p>
        </w:tc>
        <w:tc>
          <w:tcPr>
            <w:tcW w:w="4811" w:type="dxa"/>
            <w:vAlign w:val="top"/>
          </w:tcPr>
          <w:p>
            <w:pPr>
              <w:pStyle w:val="6"/>
              <w:spacing w:before="45" w:line="231" w:lineRule="auto"/>
              <w:ind w:left="128"/>
            </w:pPr>
            <w:r>
              <w:rPr>
                <w:rFonts w:ascii="Times New Roman" w:hAnsi="Times New Roman" w:eastAsia="Times New Roman" w:cs="Times New Roman"/>
                <w:spacing w:val="4"/>
              </w:rPr>
              <w:t>1.</w:t>
            </w:r>
            <w:r>
              <w:rPr>
                <w:spacing w:val="4"/>
              </w:rPr>
              <w:t>设备严重不洁。</w:t>
            </w:r>
          </w:p>
          <w:p>
            <w:pPr>
              <w:pStyle w:val="6"/>
              <w:spacing w:before="31" w:line="234" w:lineRule="auto"/>
              <w:ind w:left="111" w:right="798" w:hanging="4"/>
            </w:pPr>
            <w:r>
              <w:rPr>
                <w:rFonts w:ascii="Times New Roman" w:hAnsi="Times New Roman" w:eastAsia="Times New Roman" w:cs="Times New Roman"/>
                <w:spacing w:val="7"/>
              </w:rPr>
              <w:t>2.</w:t>
            </w:r>
            <w:r>
              <w:rPr>
                <w:spacing w:val="7"/>
              </w:rPr>
              <w:t>设备结构存在较多不易清洁的卫生死角。</w:t>
            </w:r>
            <w:r>
              <w:rPr>
                <w:spacing w:val="8"/>
              </w:rPr>
              <w:t xml:space="preserve"> </w:t>
            </w:r>
            <w:r>
              <w:rPr>
                <w:rFonts w:ascii="Times New Roman" w:hAnsi="Times New Roman" w:eastAsia="Times New Roman" w:cs="Times New Roman"/>
                <w:spacing w:val="7"/>
              </w:rPr>
              <w:t>3.</w:t>
            </w:r>
            <w:r>
              <w:rPr>
                <w:spacing w:val="7"/>
              </w:rPr>
              <w:t>设备材质不符合规定要求。</w:t>
            </w:r>
          </w:p>
        </w:tc>
        <w:tc>
          <w:tcPr>
            <w:tcW w:w="467" w:type="dxa"/>
            <w:vAlign w:val="top"/>
          </w:tcPr>
          <w:p>
            <w:pPr>
              <w:spacing w:line="302" w:lineRule="auto"/>
              <w:rPr>
                <w:rFonts w:ascii="Arial"/>
                <w:sz w:val="21"/>
              </w:rPr>
            </w:pPr>
          </w:p>
          <w:p>
            <w:pPr>
              <w:spacing w:before="58"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restart"/>
            <w:tcBorders>
              <w:bottom w:val="nil"/>
            </w:tcBorders>
            <w:vAlign w:val="top"/>
          </w:tcPr>
          <w:p>
            <w:pPr>
              <w:spacing w:line="289" w:lineRule="auto"/>
              <w:rPr>
                <w:rFonts w:ascii="Arial"/>
                <w:sz w:val="21"/>
              </w:rPr>
            </w:pPr>
          </w:p>
          <w:p>
            <w:pPr>
              <w:spacing w:line="289" w:lineRule="auto"/>
              <w:rPr>
                <w:rFonts w:ascii="Arial"/>
                <w:sz w:val="21"/>
              </w:rPr>
            </w:pPr>
          </w:p>
          <w:p>
            <w:pPr>
              <w:pStyle w:val="6"/>
              <w:spacing w:before="65" w:line="248" w:lineRule="auto"/>
              <w:ind w:left="118" w:right="107" w:hanging="6"/>
              <w:jc w:val="both"/>
            </w:pPr>
            <w:r>
              <w:rPr>
                <w:rFonts w:ascii="Times New Roman" w:hAnsi="Times New Roman" w:eastAsia="Times New Roman" w:cs="Times New Roman"/>
                <w:spacing w:val="8"/>
              </w:rPr>
              <w:t>3.</w:t>
            </w:r>
            <w:r>
              <w:rPr>
                <w:rFonts w:ascii="Times New Roman" w:hAnsi="Times New Roman" w:eastAsia="Times New Roman" w:cs="Times New Roman"/>
                <w:spacing w:val="-6"/>
              </w:rPr>
              <w:t xml:space="preserve"> </w:t>
            </w:r>
            <w:r>
              <w:rPr>
                <w:spacing w:val="8"/>
              </w:rPr>
              <w:t>生产设备维修保养良好，并做好记录。用于监测、控</w:t>
            </w:r>
            <w:r>
              <w:t xml:space="preserve"> </w:t>
            </w:r>
            <w:r>
              <w:rPr>
                <w:spacing w:val="8"/>
              </w:rPr>
              <w:t>制、记录的设备应当定期校准、维护。停用的</w:t>
            </w:r>
            <w:r>
              <w:rPr>
                <w:spacing w:val="7"/>
              </w:rPr>
              <w:t>设备需标</w:t>
            </w:r>
            <w:r>
              <w:t xml:space="preserve"> </w:t>
            </w:r>
            <w:r>
              <w:rPr>
                <w:spacing w:val="7"/>
              </w:rPr>
              <w:t>注清晰，不影响正常生产。</w:t>
            </w:r>
          </w:p>
        </w:tc>
        <w:tc>
          <w:tcPr>
            <w:tcW w:w="4811" w:type="dxa"/>
            <w:vAlign w:val="top"/>
          </w:tcPr>
          <w:p>
            <w:pPr>
              <w:pStyle w:val="6"/>
              <w:spacing w:before="77" w:line="229" w:lineRule="auto"/>
              <w:ind w:left="122"/>
            </w:pPr>
            <w:r>
              <w:rPr>
                <w:spacing w:val="5"/>
              </w:rPr>
              <w:t>符合规定要求。</w:t>
            </w:r>
          </w:p>
        </w:tc>
        <w:tc>
          <w:tcPr>
            <w:tcW w:w="467" w:type="dxa"/>
            <w:vAlign w:val="top"/>
          </w:tcPr>
          <w:p>
            <w:pPr>
              <w:spacing w:before="11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45" w:line="235" w:lineRule="auto"/>
              <w:ind w:left="107" w:right="587" w:firstLine="20"/>
            </w:pPr>
            <w:r>
              <w:rPr>
                <w:rFonts w:ascii="Times New Roman" w:hAnsi="Times New Roman" w:eastAsia="Times New Roman" w:cs="Times New Roman"/>
                <w:spacing w:val="6"/>
              </w:rPr>
              <w:t>1.</w:t>
            </w:r>
            <w:r>
              <w:rPr>
                <w:spacing w:val="6"/>
              </w:rPr>
              <w:t>个别设备维修保养、标识、记录略有不足。</w:t>
            </w:r>
            <w:r>
              <w:rPr>
                <w:spacing w:val="13"/>
              </w:rPr>
              <w:t xml:space="preserve"> </w:t>
            </w:r>
            <w:r>
              <w:rPr>
                <w:rFonts w:ascii="Times New Roman" w:hAnsi="Times New Roman" w:eastAsia="Times New Roman" w:cs="Times New Roman"/>
                <w:spacing w:val="8"/>
              </w:rPr>
              <w:t>2.</w:t>
            </w:r>
            <w:r>
              <w:rPr>
                <w:spacing w:val="8"/>
              </w:rPr>
              <w:t>个别监测设备未及时校准。</w:t>
            </w:r>
          </w:p>
        </w:tc>
        <w:tc>
          <w:tcPr>
            <w:tcW w:w="467" w:type="dxa"/>
            <w:vAlign w:val="top"/>
          </w:tcPr>
          <w:p>
            <w:pPr>
              <w:spacing w:before="221"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6" w:line="245" w:lineRule="auto"/>
              <w:ind w:left="121" w:right="106" w:firstLine="6"/>
            </w:pPr>
            <w:r>
              <w:rPr>
                <w:rFonts w:ascii="Times New Roman" w:hAnsi="Times New Roman" w:eastAsia="Times New Roman" w:cs="Times New Roman"/>
                <w:spacing w:val="9"/>
              </w:rPr>
              <w:t>1.</w:t>
            </w:r>
            <w:r>
              <w:rPr>
                <w:spacing w:val="9"/>
              </w:rPr>
              <w:t>设备未列入维修保养计划或无维修保养记录的现</w:t>
            </w:r>
            <w:r>
              <w:rPr>
                <w:spacing w:val="13"/>
              </w:rPr>
              <w:t xml:space="preserve"> </w:t>
            </w:r>
            <w:r>
              <w:rPr>
                <w:spacing w:val="2"/>
              </w:rPr>
              <w:t>象普遍。</w:t>
            </w:r>
          </w:p>
          <w:p>
            <w:pPr>
              <w:pStyle w:val="6"/>
              <w:spacing w:before="29" w:line="234" w:lineRule="auto"/>
              <w:ind w:left="111" w:right="32" w:hanging="4"/>
            </w:pPr>
            <w:r>
              <w:rPr>
                <w:rFonts w:ascii="Times New Roman" w:hAnsi="Times New Roman" w:eastAsia="Times New Roman" w:cs="Times New Roman"/>
                <w:spacing w:val="4"/>
              </w:rPr>
              <w:t>2.</w:t>
            </w:r>
            <w:r>
              <w:rPr>
                <w:rFonts w:ascii="Times New Roman" w:hAnsi="Times New Roman" w:eastAsia="Times New Roman" w:cs="Times New Roman"/>
                <w:spacing w:val="-27"/>
              </w:rPr>
              <w:t xml:space="preserve"> </w:t>
            </w:r>
            <w:r>
              <w:rPr>
                <w:spacing w:val="4"/>
              </w:rPr>
              <w:t>监测设备的精度、校准检定等无法满足</w:t>
            </w:r>
            <w:r>
              <w:rPr>
                <w:spacing w:val="3"/>
              </w:rPr>
              <w:t>规定要求。</w:t>
            </w:r>
            <w:r>
              <w:t xml:space="preserve"> </w:t>
            </w:r>
            <w:r>
              <w:rPr>
                <w:rFonts w:ascii="Times New Roman" w:hAnsi="Times New Roman" w:eastAsia="Times New Roman" w:cs="Times New Roman"/>
                <w:spacing w:val="7"/>
              </w:rPr>
              <w:t>3.</w:t>
            </w:r>
            <w:r>
              <w:rPr>
                <w:spacing w:val="7"/>
              </w:rPr>
              <w:t>设备无标识，存在误用风险。</w:t>
            </w:r>
          </w:p>
        </w:tc>
        <w:tc>
          <w:tcPr>
            <w:tcW w:w="467" w:type="dxa"/>
            <w:vAlign w:val="top"/>
          </w:tcPr>
          <w:p>
            <w:pPr>
              <w:spacing w:line="441"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58"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tc>
        <w:tc>
          <w:tcPr>
            <w:tcW w:w="70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65" w:line="225" w:lineRule="auto"/>
              <w:ind w:left="142"/>
            </w:pPr>
            <w:r>
              <w:rPr>
                <w:spacing w:val="6"/>
              </w:rPr>
              <w:t>供排</w:t>
            </w:r>
          </w:p>
          <w:p>
            <w:pPr>
              <w:pStyle w:val="6"/>
              <w:spacing w:before="36" w:line="226" w:lineRule="auto"/>
              <w:ind w:left="145"/>
            </w:pPr>
            <w:r>
              <w:rPr>
                <w:spacing w:val="5"/>
              </w:rPr>
              <w:t>水设</w:t>
            </w:r>
          </w:p>
          <w:p>
            <w:pPr>
              <w:pStyle w:val="6"/>
              <w:spacing w:before="32" w:line="228" w:lineRule="auto"/>
              <w:ind w:left="252"/>
            </w:pPr>
            <w:r>
              <w:t>施</w:t>
            </w:r>
          </w:p>
        </w:tc>
        <w:tc>
          <w:tcPr>
            <w:tcW w:w="5220" w:type="dxa"/>
            <w:vMerge w:val="restart"/>
            <w:tcBorders>
              <w:bottom w:val="nil"/>
            </w:tcBorders>
            <w:vAlign w:val="top"/>
          </w:tcPr>
          <w:p>
            <w:pPr>
              <w:spacing w:line="300" w:lineRule="auto"/>
              <w:rPr>
                <w:rFonts w:ascii="Arial"/>
                <w:sz w:val="21"/>
              </w:rPr>
            </w:pPr>
          </w:p>
          <w:p>
            <w:pPr>
              <w:pStyle w:val="6"/>
              <w:spacing w:before="65" w:line="253" w:lineRule="auto"/>
              <w:ind w:left="117" w:right="104" w:firstLine="10"/>
              <w:jc w:val="both"/>
            </w:pPr>
            <w:r>
              <w:rPr>
                <w:rFonts w:ascii="Times New Roman" w:hAnsi="Times New Roman" w:eastAsia="Times New Roman" w:cs="Times New Roman"/>
                <w:spacing w:val="12"/>
              </w:rPr>
              <w:t>1.</w:t>
            </w:r>
            <w:r>
              <w:rPr>
                <w:rFonts w:ascii="Times New Roman" w:hAnsi="Times New Roman" w:eastAsia="Times New Roman" w:cs="Times New Roman"/>
                <w:spacing w:val="-19"/>
              </w:rPr>
              <w:t xml:space="preserve"> </w:t>
            </w:r>
            <w:r>
              <w:rPr>
                <w:spacing w:val="12"/>
              </w:rPr>
              <w:t>食品添加剂加工用水的水质应当符合</w:t>
            </w:r>
            <w:r>
              <w:rPr>
                <w:spacing w:val="-31"/>
              </w:rPr>
              <w:t xml:space="preserve"> </w:t>
            </w:r>
            <w:r>
              <w:rPr>
                <w:rFonts w:ascii="Times New Roman" w:hAnsi="Times New Roman" w:eastAsia="Times New Roman" w:cs="Times New Roman"/>
              </w:rPr>
              <w:t>GB</w:t>
            </w:r>
            <w:r>
              <w:rPr>
                <w:rFonts w:ascii="Times New Roman" w:hAnsi="Times New Roman" w:eastAsia="Times New Roman" w:cs="Times New Roman"/>
                <w:spacing w:val="25"/>
                <w:w w:val="101"/>
              </w:rPr>
              <w:t xml:space="preserve"> </w:t>
            </w:r>
            <w:r>
              <w:rPr>
                <w:rFonts w:ascii="Times New Roman" w:hAnsi="Times New Roman" w:eastAsia="Times New Roman" w:cs="Times New Roman"/>
                <w:spacing w:val="12"/>
              </w:rPr>
              <w:t>5749</w:t>
            </w:r>
            <w:r>
              <w:rPr>
                <w:rFonts w:ascii="Times New Roman" w:hAnsi="Times New Roman" w:eastAsia="Times New Roman" w:cs="Times New Roman"/>
                <w:spacing w:val="39"/>
                <w:w w:val="101"/>
              </w:rPr>
              <w:t xml:space="preserve"> </w:t>
            </w:r>
            <w:r>
              <w:rPr>
                <w:spacing w:val="12"/>
              </w:rPr>
              <w:t>的规</w:t>
            </w:r>
            <w:r>
              <w:t xml:space="preserve"> </w:t>
            </w:r>
            <w:r>
              <w:rPr>
                <w:spacing w:val="8"/>
              </w:rPr>
              <w:t>定，有特殊要求的应当符合相应规定。食品添加</w:t>
            </w:r>
            <w:r>
              <w:rPr>
                <w:spacing w:val="7"/>
              </w:rPr>
              <w:t>剂加工</w:t>
            </w:r>
            <w:r>
              <w:t xml:space="preserve"> </w:t>
            </w:r>
            <w:r>
              <w:rPr>
                <w:spacing w:val="17"/>
              </w:rPr>
              <w:t>用水与其他不与食品添加剂接触的用水应当以完</w:t>
            </w:r>
            <w:r>
              <w:rPr>
                <w:spacing w:val="16"/>
              </w:rPr>
              <w:t>全分</w:t>
            </w:r>
            <w:r>
              <w:t xml:space="preserve"> </w:t>
            </w:r>
            <w:r>
              <w:rPr>
                <w:spacing w:val="7"/>
              </w:rPr>
              <w:t>离的管路输送，避免交叉污染。各管路系统应当明确标</w:t>
            </w:r>
            <w:r>
              <w:rPr>
                <w:spacing w:val="18"/>
              </w:rPr>
              <w:t xml:space="preserve"> </w:t>
            </w:r>
            <w:r>
              <w:rPr>
                <w:spacing w:val="5"/>
              </w:rPr>
              <w:t>识以便区分。</w:t>
            </w:r>
          </w:p>
        </w:tc>
        <w:tc>
          <w:tcPr>
            <w:tcW w:w="4811" w:type="dxa"/>
            <w:vAlign w:val="top"/>
          </w:tcPr>
          <w:p>
            <w:pPr>
              <w:pStyle w:val="6"/>
              <w:spacing w:before="78" w:line="229" w:lineRule="auto"/>
              <w:ind w:left="122"/>
            </w:pPr>
            <w:r>
              <w:rPr>
                <w:spacing w:val="5"/>
              </w:rPr>
              <w:t>符合规定要求。</w:t>
            </w:r>
          </w:p>
        </w:tc>
        <w:tc>
          <w:tcPr>
            <w:tcW w:w="467" w:type="dxa"/>
            <w:vAlign w:val="top"/>
          </w:tcPr>
          <w:p>
            <w:pPr>
              <w:spacing w:before="11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47" w:line="231" w:lineRule="auto"/>
              <w:ind w:left="128"/>
            </w:pPr>
            <w:r>
              <w:rPr>
                <w:rFonts w:ascii="Times New Roman" w:hAnsi="Times New Roman" w:eastAsia="Times New Roman" w:cs="Times New Roman"/>
                <w:spacing w:val="6"/>
              </w:rPr>
              <w:t>1.</w:t>
            </w:r>
            <w:r>
              <w:rPr>
                <w:spacing w:val="6"/>
              </w:rPr>
              <w:t>供水管路标识略有不足。</w:t>
            </w:r>
          </w:p>
          <w:p>
            <w:pPr>
              <w:pStyle w:val="6"/>
              <w:spacing w:before="29" w:line="234" w:lineRule="auto"/>
              <w:ind w:left="111" w:right="2058" w:hanging="4"/>
            </w:pPr>
            <w:r>
              <w:rPr>
                <w:rFonts w:ascii="Times New Roman" w:hAnsi="Times New Roman" w:eastAsia="Times New Roman" w:cs="Times New Roman"/>
                <w:spacing w:val="6"/>
              </w:rPr>
              <w:t>2.</w:t>
            </w:r>
            <w:r>
              <w:rPr>
                <w:spacing w:val="6"/>
              </w:rPr>
              <w:t>水质检测报告有轻微缺陷。</w:t>
            </w:r>
            <w:r>
              <w:rPr>
                <w:spacing w:val="4"/>
              </w:rPr>
              <w:t xml:space="preserve"> </w:t>
            </w:r>
            <w:r>
              <w:rPr>
                <w:rFonts w:ascii="Times New Roman" w:hAnsi="Times New Roman" w:eastAsia="Times New Roman" w:cs="Times New Roman"/>
                <w:spacing w:val="6"/>
              </w:rPr>
              <w:t>3.</w:t>
            </w:r>
            <w:r>
              <w:rPr>
                <w:spacing w:val="6"/>
              </w:rPr>
              <w:t>供水水压、水量稍有不足。</w:t>
            </w:r>
          </w:p>
        </w:tc>
        <w:tc>
          <w:tcPr>
            <w:tcW w:w="467" w:type="dxa"/>
            <w:vAlign w:val="top"/>
          </w:tcPr>
          <w:p>
            <w:pPr>
              <w:spacing w:line="304" w:lineRule="auto"/>
              <w:rPr>
                <w:rFonts w:ascii="Arial"/>
                <w:sz w:val="21"/>
              </w:rPr>
            </w:pPr>
          </w:p>
          <w:p>
            <w:pPr>
              <w:spacing w:before="58"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7" w:line="245" w:lineRule="auto"/>
              <w:ind w:left="107" w:right="378" w:firstLine="20"/>
            </w:pPr>
            <w:r>
              <w:rPr>
                <w:rFonts w:ascii="Times New Roman" w:hAnsi="Times New Roman" w:eastAsia="Times New Roman" w:cs="Times New Roman"/>
                <w:spacing w:val="6"/>
              </w:rPr>
              <w:t>1.</w:t>
            </w:r>
            <w:r>
              <w:rPr>
                <w:spacing w:val="6"/>
              </w:rPr>
              <w:t>食品添加剂加工用水的水质不符合规定要求。</w:t>
            </w:r>
            <w:r>
              <w:rPr>
                <w:spacing w:val="16"/>
              </w:rPr>
              <w:t xml:space="preserve"> </w:t>
            </w:r>
            <w:r>
              <w:rPr>
                <w:rFonts w:ascii="Times New Roman" w:hAnsi="Times New Roman" w:eastAsia="Times New Roman" w:cs="Times New Roman"/>
                <w:spacing w:val="8"/>
              </w:rPr>
              <w:t>2.</w:t>
            </w:r>
            <w:r>
              <w:rPr>
                <w:spacing w:val="8"/>
              </w:rPr>
              <w:t>供水管路无标识或标识混乱。</w:t>
            </w:r>
          </w:p>
          <w:p>
            <w:pPr>
              <w:pStyle w:val="6"/>
              <w:spacing w:before="31" w:line="207" w:lineRule="auto"/>
              <w:ind w:left="112"/>
            </w:pPr>
            <w:r>
              <w:rPr>
                <w:rFonts w:ascii="Times New Roman" w:hAnsi="Times New Roman" w:eastAsia="Times New Roman" w:cs="Times New Roman"/>
                <w:spacing w:val="7"/>
              </w:rPr>
              <w:t>3.</w:t>
            </w:r>
            <w:r>
              <w:rPr>
                <w:spacing w:val="7"/>
              </w:rPr>
              <w:t>供水管路存在交叉污染。</w:t>
            </w:r>
          </w:p>
        </w:tc>
        <w:tc>
          <w:tcPr>
            <w:tcW w:w="467" w:type="dxa"/>
            <w:vAlign w:val="top"/>
          </w:tcPr>
          <w:p>
            <w:pPr>
              <w:spacing w:line="305"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restart"/>
            <w:tcBorders>
              <w:bottom w:val="nil"/>
            </w:tcBorders>
            <w:vAlign w:val="top"/>
          </w:tcPr>
          <w:p>
            <w:pPr>
              <w:pStyle w:val="6"/>
              <w:spacing w:before="225" w:line="254" w:lineRule="auto"/>
              <w:ind w:left="115" w:right="107" w:hanging="8"/>
              <w:jc w:val="both"/>
            </w:pPr>
            <w:r>
              <w:rPr>
                <w:rFonts w:ascii="Times New Roman" w:hAnsi="Times New Roman" w:eastAsia="Times New Roman" w:cs="Times New Roman"/>
                <w:spacing w:val="10"/>
              </w:rPr>
              <w:t>2.</w:t>
            </w:r>
            <w:r>
              <w:rPr>
                <w:spacing w:val="10"/>
              </w:rPr>
              <w:t>排水系统的设计和建造应保证排水畅通，便于清</w:t>
            </w:r>
            <w:r>
              <w:rPr>
                <w:spacing w:val="9"/>
              </w:rPr>
              <w:t>洁维</w:t>
            </w:r>
            <w:r>
              <w:t xml:space="preserve"> </w:t>
            </w:r>
            <w:r>
              <w:rPr>
                <w:spacing w:val="8"/>
              </w:rPr>
              <w:t>护，且满足生产的需要。室内排水应当由清洁程</w:t>
            </w:r>
            <w:r>
              <w:rPr>
                <w:spacing w:val="7"/>
              </w:rPr>
              <w:t>度高的</w:t>
            </w:r>
            <w:r>
              <w:t xml:space="preserve"> </w:t>
            </w:r>
            <w:r>
              <w:rPr>
                <w:spacing w:val="8"/>
              </w:rPr>
              <w:t>区域流向清洁程度低的区域，且有防止逆流的措施</w:t>
            </w:r>
            <w:r>
              <w:rPr>
                <w:spacing w:val="7"/>
              </w:rPr>
              <w:t>。排</w:t>
            </w:r>
            <w:r>
              <w:t xml:space="preserve"> </w:t>
            </w:r>
            <w:r>
              <w:rPr>
                <w:spacing w:val="17"/>
              </w:rPr>
              <w:t>水系统出入口设计合理并有防止污染和虫害侵入</w:t>
            </w:r>
            <w:r>
              <w:rPr>
                <w:spacing w:val="16"/>
              </w:rPr>
              <w:t>的措</w:t>
            </w:r>
            <w:r>
              <w:t xml:space="preserve"> </w:t>
            </w:r>
            <w:r>
              <w:rPr>
                <w:spacing w:val="-3"/>
              </w:rPr>
              <w:t>施。</w:t>
            </w:r>
          </w:p>
        </w:tc>
        <w:tc>
          <w:tcPr>
            <w:tcW w:w="4811" w:type="dxa"/>
            <w:vAlign w:val="top"/>
          </w:tcPr>
          <w:p>
            <w:pPr>
              <w:pStyle w:val="6"/>
              <w:spacing w:before="80" w:line="229" w:lineRule="auto"/>
              <w:ind w:left="122"/>
            </w:pPr>
            <w:r>
              <w:rPr>
                <w:spacing w:val="5"/>
              </w:rPr>
              <w:t>符合规定要求。</w:t>
            </w:r>
          </w:p>
        </w:tc>
        <w:tc>
          <w:tcPr>
            <w:tcW w:w="467" w:type="dxa"/>
            <w:vAlign w:val="top"/>
          </w:tcPr>
          <w:p>
            <w:pPr>
              <w:spacing w:before="115"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48" w:line="231" w:lineRule="auto"/>
              <w:ind w:left="128"/>
            </w:pPr>
            <w:r>
              <w:rPr>
                <w:rFonts w:ascii="Times New Roman" w:hAnsi="Times New Roman" w:eastAsia="Times New Roman" w:cs="Times New Roman"/>
                <w:spacing w:val="5"/>
              </w:rPr>
              <w:t>1.</w:t>
            </w:r>
            <w:r>
              <w:rPr>
                <w:spacing w:val="5"/>
              </w:rPr>
              <w:t>个别排水略有不畅。</w:t>
            </w:r>
          </w:p>
          <w:p>
            <w:pPr>
              <w:pStyle w:val="6"/>
              <w:spacing w:before="30" w:line="208" w:lineRule="auto"/>
              <w:ind w:right="11"/>
              <w:jc w:val="right"/>
            </w:pPr>
            <w:r>
              <w:rPr>
                <w:rFonts w:ascii="Times New Roman" w:hAnsi="Times New Roman" w:eastAsia="Times New Roman" w:cs="Times New Roman"/>
                <w:spacing w:val="5"/>
              </w:rPr>
              <w:t>2.</w:t>
            </w:r>
            <w:r>
              <w:rPr>
                <w:spacing w:val="5"/>
              </w:rPr>
              <w:t>个别排水管路、排水口的相关防护措施略有不足。</w:t>
            </w:r>
          </w:p>
        </w:tc>
        <w:tc>
          <w:tcPr>
            <w:tcW w:w="467" w:type="dxa"/>
            <w:vAlign w:val="top"/>
          </w:tcPr>
          <w:p>
            <w:pPr>
              <w:spacing w:before="226"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9" w:line="231" w:lineRule="auto"/>
              <w:ind w:left="128"/>
            </w:pPr>
            <w:r>
              <w:rPr>
                <w:rFonts w:ascii="Times New Roman" w:hAnsi="Times New Roman" w:eastAsia="Times New Roman" w:cs="Times New Roman"/>
                <w:spacing w:val="6"/>
              </w:rPr>
              <w:t>1.</w:t>
            </w:r>
            <w:r>
              <w:rPr>
                <w:spacing w:val="6"/>
              </w:rPr>
              <w:t>排水不畅，积水严重。</w:t>
            </w:r>
          </w:p>
          <w:p>
            <w:pPr>
              <w:pStyle w:val="6"/>
              <w:spacing w:before="29" w:line="233" w:lineRule="auto"/>
              <w:ind w:left="111" w:right="1427" w:hanging="4"/>
            </w:pPr>
            <w:r>
              <w:rPr>
                <w:rFonts w:ascii="Times New Roman" w:hAnsi="Times New Roman" w:eastAsia="Times New Roman" w:cs="Times New Roman"/>
                <w:spacing w:val="5"/>
              </w:rPr>
              <w:t>2.</w:t>
            </w:r>
            <w:r>
              <w:rPr>
                <w:rFonts w:ascii="Times New Roman" w:hAnsi="Times New Roman" w:eastAsia="Times New Roman" w:cs="Times New Roman"/>
                <w:spacing w:val="-16"/>
              </w:rPr>
              <w:t xml:space="preserve"> </w:t>
            </w:r>
            <w:r>
              <w:rPr>
                <w:spacing w:val="5"/>
              </w:rPr>
              <w:t>生产车间内排水流向不符合要求。</w:t>
            </w:r>
            <w:r>
              <w:t xml:space="preserve"> </w:t>
            </w:r>
            <w:r>
              <w:rPr>
                <w:rFonts w:ascii="Times New Roman" w:hAnsi="Times New Roman" w:eastAsia="Times New Roman" w:cs="Times New Roman"/>
                <w:spacing w:val="7"/>
              </w:rPr>
              <w:t>3.</w:t>
            </w:r>
            <w:r>
              <w:rPr>
                <w:spacing w:val="7"/>
              </w:rPr>
              <w:t>排水口防护措施严重不足。</w:t>
            </w:r>
          </w:p>
        </w:tc>
        <w:tc>
          <w:tcPr>
            <w:tcW w:w="467" w:type="dxa"/>
            <w:vAlign w:val="top"/>
          </w:tcPr>
          <w:p>
            <w:pPr>
              <w:spacing w:line="304" w:lineRule="auto"/>
              <w:rPr>
                <w:rFonts w:ascii="Arial"/>
                <w:sz w:val="21"/>
              </w:rPr>
            </w:pPr>
          </w:p>
          <w:p>
            <w:pPr>
              <w:spacing w:before="58"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before="290"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tc>
        <w:tc>
          <w:tcPr>
            <w:tcW w:w="709" w:type="dxa"/>
            <w:vMerge w:val="restart"/>
            <w:tcBorders>
              <w:bottom w:val="nil"/>
            </w:tcBorders>
            <w:vAlign w:val="top"/>
          </w:tcPr>
          <w:p>
            <w:pPr>
              <w:pStyle w:val="6"/>
              <w:spacing w:before="115" w:line="244" w:lineRule="auto"/>
              <w:ind w:left="152" w:right="148" w:firstLine="3"/>
            </w:pPr>
            <w:r>
              <w:rPr>
                <w:spacing w:val="-1"/>
              </w:rPr>
              <w:t>清洁</w:t>
            </w:r>
            <w:r>
              <w:t xml:space="preserve"> </w:t>
            </w:r>
            <w:r>
              <w:rPr>
                <w:spacing w:val="1"/>
              </w:rPr>
              <w:t>消毒</w:t>
            </w:r>
          </w:p>
        </w:tc>
        <w:tc>
          <w:tcPr>
            <w:tcW w:w="5220" w:type="dxa"/>
            <w:vMerge w:val="restart"/>
            <w:tcBorders>
              <w:bottom w:val="nil"/>
            </w:tcBorders>
            <w:vAlign w:val="top"/>
          </w:tcPr>
          <w:p>
            <w:pPr>
              <w:pStyle w:val="6"/>
              <w:spacing w:before="114" w:line="245" w:lineRule="auto"/>
              <w:ind w:left="119" w:right="104" w:hanging="2"/>
            </w:pPr>
            <w:r>
              <w:rPr>
                <w:spacing w:val="8"/>
              </w:rPr>
              <w:t>应当配备相应的食品添加剂、工器具和设备等的</w:t>
            </w:r>
            <w:r>
              <w:rPr>
                <w:spacing w:val="7"/>
              </w:rPr>
              <w:t>专用清</w:t>
            </w:r>
            <w:r>
              <w:t xml:space="preserve"> </w:t>
            </w:r>
            <w:r>
              <w:rPr>
                <w:spacing w:val="8"/>
              </w:rPr>
              <w:t>洁设施，必要时配备相应的消毒设施。清洁、消</w:t>
            </w:r>
            <w:r>
              <w:rPr>
                <w:spacing w:val="7"/>
              </w:rPr>
              <w:t>毒方式</w:t>
            </w:r>
          </w:p>
        </w:tc>
        <w:tc>
          <w:tcPr>
            <w:tcW w:w="4811" w:type="dxa"/>
            <w:vAlign w:val="top"/>
          </w:tcPr>
          <w:p>
            <w:pPr>
              <w:pStyle w:val="6"/>
              <w:spacing w:before="79" w:line="229" w:lineRule="auto"/>
              <w:ind w:left="122"/>
            </w:pPr>
            <w:r>
              <w:rPr>
                <w:spacing w:val="5"/>
              </w:rPr>
              <w:t>符合规定要求。</w:t>
            </w:r>
          </w:p>
        </w:tc>
        <w:tc>
          <w:tcPr>
            <w:tcW w:w="467" w:type="dxa"/>
            <w:vAlign w:val="top"/>
          </w:tcPr>
          <w:p>
            <w:pPr>
              <w:spacing w:before="115"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79" w:line="230" w:lineRule="auto"/>
              <w:ind w:left="119"/>
            </w:pPr>
            <w:r>
              <w:rPr>
                <w:spacing w:val="7"/>
              </w:rPr>
              <w:t>清洁消毒设施略有不足。</w:t>
            </w:r>
          </w:p>
        </w:tc>
        <w:tc>
          <w:tcPr>
            <w:tcW w:w="467" w:type="dxa"/>
            <w:vAlign w:val="top"/>
          </w:tcPr>
          <w:p>
            <w:pPr>
              <w:spacing w:before="115"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5" w:type="default"/>
          <w:pgSz w:w="16839" w:h="11906"/>
          <w:pgMar w:top="1012" w:right="816" w:bottom="1166" w:left="1038" w:header="0" w:footer="994" w:gutter="0"/>
          <w:cols w:space="720" w:num="1"/>
        </w:sectPr>
      </w:pPr>
    </w:p>
    <w:p>
      <w:pPr>
        <w:spacing w:before="21"/>
      </w:pPr>
    </w:p>
    <w:p>
      <w:pPr>
        <w:spacing w:before="21"/>
      </w:pPr>
    </w:p>
    <w:p>
      <w:pPr>
        <w:spacing w:before="21"/>
      </w:pPr>
    </w:p>
    <w:tbl>
      <w:tblPr>
        <w:tblStyle w:val="5"/>
        <w:tblW w:w="14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09"/>
        <w:gridCol w:w="5220"/>
        <w:gridCol w:w="4811"/>
        <w:gridCol w:w="467"/>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extDirection w:val="tbRlV"/>
            <w:vAlign w:val="top"/>
          </w:tcPr>
          <w:p>
            <w:pPr>
              <w:spacing w:before="180"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09" w:type="dxa"/>
            <w:vAlign w:val="top"/>
          </w:tcPr>
          <w:p>
            <w:pPr>
              <w:spacing w:before="63" w:line="271" w:lineRule="auto"/>
              <w:ind w:left="145" w:right="14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20" w:type="dxa"/>
            <w:vAlign w:val="top"/>
          </w:tcPr>
          <w:p>
            <w:pPr>
              <w:spacing w:before="226" w:line="231" w:lineRule="auto"/>
              <w:ind w:left="2193"/>
              <w:rPr>
                <w:rFonts w:ascii="黑体" w:hAnsi="黑体" w:eastAsia="黑体" w:cs="黑体"/>
                <w:sz w:val="20"/>
                <w:szCs w:val="20"/>
              </w:rPr>
            </w:pPr>
            <w:r>
              <w:rPr>
                <w:rFonts w:ascii="黑体" w:hAnsi="黑体" w:eastAsia="黑体" w:cs="黑体"/>
                <w:spacing w:val="7"/>
                <w:sz w:val="20"/>
                <w:szCs w:val="20"/>
              </w:rPr>
              <w:t>核查内容</w:t>
            </w:r>
          </w:p>
        </w:tc>
        <w:tc>
          <w:tcPr>
            <w:tcW w:w="5278" w:type="dxa"/>
            <w:gridSpan w:val="2"/>
            <w:vAlign w:val="top"/>
          </w:tcPr>
          <w:p>
            <w:pPr>
              <w:spacing w:before="226" w:line="230" w:lineRule="auto"/>
              <w:ind w:left="2222"/>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1" w:lineRule="auto"/>
              <w:ind w:left="282"/>
              <w:rPr>
                <w:rFonts w:ascii="黑体" w:hAnsi="黑体" w:eastAsia="黑体" w:cs="黑体"/>
                <w:sz w:val="20"/>
                <w:szCs w:val="20"/>
              </w:rPr>
            </w:pPr>
            <w:r>
              <w:rPr>
                <w:rFonts w:ascii="黑体" w:hAnsi="黑体" w:eastAsia="黑体" w:cs="黑体"/>
                <w:spacing w:val="7"/>
                <w:sz w:val="20"/>
                <w:szCs w:val="20"/>
              </w:rPr>
              <w:t>核查得分</w:t>
            </w:r>
          </w:p>
        </w:tc>
        <w:tc>
          <w:tcPr>
            <w:tcW w:w="1804" w:type="dxa"/>
            <w:vAlign w:val="top"/>
          </w:tcPr>
          <w:p>
            <w:pPr>
              <w:spacing w:before="226" w:line="230" w:lineRule="auto"/>
              <w:ind w:left="48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73" w:type="dxa"/>
            <w:vAlign w:val="top"/>
          </w:tcPr>
          <w:p>
            <w:pPr>
              <w:rPr>
                <w:rFonts w:ascii="Arial"/>
                <w:sz w:val="21"/>
              </w:rPr>
            </w:pPr>
          </w:p>
        </w:tc>
        <w:tc>
          <w:tcPr>
            <w:tcW w:w="709" w:type="dxa"/>
            <w:vAlign w:val="top"/>
          </w:tcPr>
          <w:p>
            <w:pPr>
              <w:pStyle w:val="6"/>
              <w:spacing w:before="46" w:line="227" w:lineRule="auto"/>
              <w:ind w:left="146"/>
            </w:pPr>
            <w:r>
              <w:rPr>
                <w:spacing w:val="4"/>
              </w:rPr>
              <w:t>设施</w:t>
            </w:r>
          </w:p>
        </w:tc>
        <w:tc>
          <w:tcPr>
            <w:tcW w:w="5220" w:type="dxa"/>
            <w:vAlign w:val="top"/>
          </w:tcPr>
          <w:p>
            <w:pPr>
              <w:pStyle w:val="6"/>
              <w:spacing w:before="44" w:line="235" w:lineRule="auto"/>
              <w:ind w:left="117" w:right="107"/>
            </w:pPr>
            <w:r>
              <w:rPr>
                <w:spacing w:val="8"/>
              </w:rPr>
              <w:t>应当避免对产品造成交叉污染，使用的洗涤剂、</w:t>
            </w:r>
            <w:r>
              <w:rPr>
                <w:spacing w:val="7"/>
              </w:rPr>
              <w:t>消毒剂</w:t>
            </w:r>
            <w:r>
              <w:t xml:space="preserve"> </w:t>
            </w:r>
            <w:r>
              <w:rPr>
                <w:spacing w:val="7"/>
              </w:rPr>
              <w:t>应当符合相关规定要求。</w:t>
            </w:r>
          </w:p>
        </w:tc>
        <w:tc>
          <w:tcPr>
            <w:tcW w:w="4811" w:type="dxa"/>
            <w:vAlign w:val="top"/>
          </w:tcPr>
          <w:p>
            <w:pPr>
              <w:pStyle w:val="6"/>
              <w:spacing w:before="44" w:line="235" w:lineRule="auto"/>
              <w:ind w:left="139" w:right="103" w:hanging="20"/>
            </w:pPr>
            <w:r>
              <w:rPr>
                <w:spacing w:val="8"/>
              </w:rPr>
              <w:t>清洁消毒设施严重不足，或者清洁消毒的方式、用</w:t>
            </w:r>
            <w:r>
              <w:rPr>
                <w:spacing w:val="5"/>
              </w:rPr>
              <w:t xml:space="preserve"> </w:t>
            </w:r>
            <w:r>
              <w:rPr>
                <w:spacing w:val="4"/>
              </w:rPr>
              <w:t>品不符合规定要求。</w:t>
            </w:r>
          </w:p>
        </w:tc>
        <w:tc>
          <w:tcPr>
            <w:tcW w:w="467" w:type="dxa"/>
            <w:vAlign w:val="top"/>
          </w:tcPr>
          <w:p>
            <w:pPr>
              <w:spacing w:before="220"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before="58"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709" w:type="dxa"/>
            <w:vMerge w:val="restart"/>
            <w:tcBorders>
              <w:bottom w:val="nil"/>
            </w:tcBorders>
            <w:vAlign w:val="top"/>
          </w:tcPr>
          <w:p>
            <w:pPr>
              <w:pStyle w:val="6"/>
              <w:spacing w:before="118" w:line="226" w:lineRule="auto"/>
              <w:ind w:left="144"/>
            </w:pPr>
            <w:r>
              <w:rPr>
                <w:spacing w:val="5"/>
              </w:rPr>
              <w:t>废弃</w:t>
            </w:r>
          </w:p>
          <w:p>
            <w:pPr>
              <w:pStyle w:val="6"/>
              <w:spacing w:before="32" w:line="223" w:lineRule="auto"/>
              <w:ind w:left="152"/>
            </w:pPr>
            <w:r>
              <w:rPr>
                <w:spacing w:val="1"/>
              </w:rPr>
              <w:t>物存</w:t>
            </w:r>
          </w:p>
          <w:p>
            <w:pPr>
              <w:pStyle w:val="6"/>
              <w:spacing w:before="39" w:line="227" w:lineRule="auto"/>
              <w:ind w:left="147"/>
            </w:pPr>
            <w:r>
              <w:rPr>
                <w:spacing w:val="4"/>
              </w:rPr>
              <w:t>放设</w:t>
            </w:r>
          </w:p>
          <w:p>
            <w:pPr>
              <w:pStyle w:val="6"/>
              <w:spacing w:before="34" w:line="228" w:lineRule="auto"/>
              <w:ind w:left="252"/>
            </w:pPr>
            <w:r>
              <w:t>施</w:t>
            </w:r>
          </w:p>
        </w:tc>
        <w:tc>
          <w:tcPr>
            <w:tcW w:w="5220" w:type="dxa"/>
            <w:vMerge w:val="restart"/>
            <w:tcBorders>
              <w:bottom w:val="nil"/>
            </w:tcBorders>
            <w:vAlign w:val="top"/>
          </w:tcPr>
          <w:p>
            <w:pPr>
              <w:pStyle w:val="6"/>
              <w:spacing w:before="117" w:line="251" w:lineRule="auto"/>
              <w:ind w:left="121" w:right="107" w:hanging="4"/>
              <w:jc w:val="both"/>
            </w:pPr>
            <w:r>
              <w:rPr>
                <w:spacing w:val="7"/>
              </w:rPr>
              <w:t>应当配备设计合理、防止渗漏、易于清洁的存放废弃物</w:t>
            </w:r>
            <w:r>
              <w:rPr>
                <w:spacing w:val="18"/>
              </w:rPr>
              <w:t xml:space="preserve"> </w:t>
            </w:r>
            <w:r>
              <w:rPr>
                <w:spacing w:val="7"/>
              </w:rPr>
              <w:t>的专用设施，必要时可设置废弃物临时存放设施。车间</w:t>
            </w:r>
            <w:r>
              <w:rPr>
                <w:spacing w:val="14"/>
              </w:rPr>
              <w:t xml:space="preserve"> </w:t>
            </w:r>
            <w:r>
              <w:rPr>
                <w:spacing w:val="7"/>
              </w:rPr>
              <w:t>内存放废弃物的设施和容器应当标识清晰，不得与盛装</w:t>
            </w:r>
            <w:r>
              <w:rPr>
                <w:spacing w:val="17"/>
              </w:rPr>
              <w:t xml:space="preserve"> </w:t>
            </w:r>
            <w:r>
              <w:rPr>
                <w:spacing w:val="7"/>
              </w:rPr>
              <w:t>原料、半成品、成品的容器混用。</w:t>
            </w:r>
          </w:p>
        </w:tc>
        <w:tc>
          <w:tcPr>
            <w:tcW w:w="4811" w:type="dxa"/>
            <w:vAlign w:val="top"/>
          </w:tcPr>
          <w:p>
            <w:pPr>
              <w:pStyle w:val="6"/>
              <w:spacing w:before="77" w:line="229" w:lineRule="auto"/>
              <w:ind w:left="122"/>
            </w:pPr>
            <w:r>
              <w:rPr>
                <w:spacing w:val="5"/>
              </w:rPr>
              <w:t>符合规定要求。</w:t>
            </w:r>
          </w:p>
        </w:tc>
        <w:tc>
          <w:tcPr>
            <w:tcW w:w="467" w:type="dxa"/>
            <w:vAlign w:val="top"/>
          </w:tcPr>
          <w:p>
            <w:pPr>
              <w:spacing w:before="112"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77" w:line="228" w:lineRule="auto"/>
              <w:ind w:left="119"/>
            </w:pPr>
            <w:r>
              <w:rPr>
                <w:spacing w:val="8"/>
              </w:rPr>
              <w:t>废弃物存放设施及标识略有不足。</w:t>
            </w:r>
          </w:p>
        </w:tc>
        <w:tc>
          <w:tcPr>
            <w:tcW w:w="467" w:type="dxa"/>
            <w:vAlign w:val="top"/>
          </w:tcPr>
          <w:p>
            <w:pPr>
              <w:spacing w:before="113"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7" w:line="234" w:lineRule="auto"/>
              <w:ind w:left="119" w:right="103"/>
            </w:pPr>
            <w:r>
              <w:rPr>
                <w:spacing w:val="8"/>
              </w:rPr>
              <w:t>废弃物存放设施设计不合理，或者与盛装原料、半</w:t>
            </w:r>
            <w:r>
              <w:rPr>
                <w:spacing w:val="5"/>
              </w:rPr>
              <w:t xml:space="preserve"> </w:t>
            </w:r>
            <w:r>
              <w:rPr>
                <w:spacing w:val="7"/>
              </w:rPr>
              <w:t>成品、成品的容器混用。</w:t>
            </w:r>
          </w:p>
        </w:tc>
        <w:tc>
          <w:tcPr>
            <w:tcW w:w="467" w:type="dxa"/>
            <w:vAlign w:val="top"/>
          </w:tcPr>
          <w:p>
            <w:pPr>
              <w:spacing w:before="221"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57"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709"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248" w:lineRule="auto"/>
              <w:ind w:left="146" w:right="148" w:firstLine="1"/>
              <w:jc w:val="both"/>
            </w:pPr>
            <w:r>
              <w:rPr>
                <w:spacing w:val="3"/>
              </w:rPr>
              <w:t>个人</w:t>
            </w:r>
            <w:r>
              <w:t xml:space="preserve"> </w:t>
            </w:r>
            <w:r>
              <w:rPr>
                <w:spacing w:val="4"/>
              </w:rPr>
              <w:t>卫生</w:t>
            </w:r>
            <w:r>
              <w:t xml:space="preserve"> </w:t>
            </w:r>
            <w:r>
              <w:rPr>
                <w:spacing w:val="4"/>
              </w:rPr>
              <w:t>设施</w:t>
            </w:r>
          </w:p>
        </w:tc>
        <w:tc>
          <w:tcPr>
            <w:tcW w:w="5220" w:type="dxa"/>
            <w:vMerge w:val="restart"/>
            <w:tcBorders>
              <w:bottom w:val="nil"/>
            </w:tcBorders>
            <w:vAlign w:val="top"/>
          </w:tcPr>
          <w:p>
            <w:pPr>
              <w:pStyle w:val="6"/>
              <w:spacing w:before="53" w:line="253" w:lineRule="auto"/>
              <w:ind w:left="115" w:right="104" w:firstLine="14"/>
              <w:jc w:val="both"/>
            </w:pPr>
            <w:r>
              <w:rPr>
                <w:spacing w:val="7"/>
              </w:rPr>
              <w:t>生产场所或车间入口处应当设置更衣室，更衣室应当保</w:t>
            </w:r>
            <w:r>
              <w:rPr>
                <w:spacing w:val="6"/>
              </w:rPr>
              <w:t xml:space="preserve"> </w:t>
            </w:r>
            <w:r>
              <w:rPr>
                <w:spacing w:val="8"/>
              </w:rPr>
              <w:t>证工作服与个人服装及其他物品分开放置；车间入口及</w:t>
            </w:r>
            <w:r>
              <w:t xml:space="preserve"> </w:t>
            </w:r>
            <w:r>
              <w:rPr>
                <w:spacing w:val="8"/>
              </w:rPr>
              <w:t>车间内必要处，应当按需设置换鞋（或穿戴鞋套）设施</w:t>
            </w:r>
            <w:r>
              <w:rPr>
                <w:spacing w:val="2"/>
              </w:rPr>
              <w:t xml:space="preserve"> </w:t>
            </w:r>
            <w:r>
              <w:rPr>
                <w:spacing w:val="8"/>
              </w:rPr>
              <w:t>或鞋靴消毒设施；清洁作业区入口应当设置与生</w:t>
            </w:r>
            <w:r>
              <w:rPr>
                <w:spacing w:val="7"/>
              </w:rPr>
              <w:t>产加工</w:t>
            </w:r>
            <w:r>
              <w:t xml:space="preserve"> </w:t>
            </w:r>
            <w:r>
              <w:rPr>
                <w:spacing w:val="8"/>
              </w:rPr>
              <w:t>人员数量相匹配的非手动式洗手、干手和消毒设施；如</w:t>
            </w:r>
            <w:r>
              <w:t xml:space="preserve"> </w:t>
            </w:r>
            <w:r>
              <w:rPr>
                <w:spacing w:val="8"/>
              </w:rPr>
              <w:t>有需要，应在作业区内适当位置加设洗手和（或）消毒</w:t>
            </w:r>
            <w:r>
              <w:rPr>
                <w:spacing w:val="2"/>
              </w:rPr>
              <w:t xml:space="preserve"> </w:t>
            </w:r>
            <w:r>
              <w:rPr>
                <w:spacing w:val="8"/>
              </w:rPr>
              <w:t>设施；洗手设施的材质、结构应当易于清洁消毒，临近</w:t>
            </w:r>
            <w:r>
              <w:rPr>
                <w:spacing w:val="2"/>
              </w:rPr>
              <w:t xml:space="preserve"> </w:t>
            </w:r>
            <w:r>
              <w:rPr>
                <w:spacing w:val="8"/>
              </w:rPr>
              <w:t>位置应当标示洗手方法。卫生间应当易于保持清洁，不</w:t>
            </w:r>
            <w:r>
              <w:t xml:space="preserve"> </w:t>
            </w:r>
            <w:r>
              <w:rPr>
                <w:spacing w:val="8"/>
              </w:rPr>
              <w:t>得与生产、包装或贮存等区域直接连通，卫生间</w:t>
            </w:r>
            <w:r>
              <w:rPr>
                <w:spacing w:val="7"/>
              </w:rPr>
              <w:t>内的适</w:t>
            </w:r>
            <w:r>
              <w:t xml:space="preserve"> </w:t>
            </w:r>
            <w:r>
              <w:rPr>
                <w:spacing w:val="8"/>
              </w:rPr>
              <w:t>当位置应当设置洗手设施。</w:t>
            </w:r>
          </w:p>
        </w:tc>
        <w:tc>
          <w:tcPr>
            <w:tcW w:w="4811" w:type="dxa"/>
            <w:vAlign w:val="top"/>
          </w:tcPr>
          <w:p>
            <w:pPr>
              <w:pStyle w:val="6"/>
              <w:spacing w:before="77" w:line="229" w:lineRule="auto"/>
              <w:ind w:left="122"/>
            </w:pPr>
            <w:r>
              <w:rPr>
                <w:spacing w:val="5"/>
              </w:rPr>
              <w:t>符合规定要求。</w:t>
            </w:r>
          </w:p>
        </w:tc>
        <w:tc>
          <w:tcPr>
            <w:tcW w:w="467" w:type="dxa"/>
            <w:vAlign w:val="top"/>
          </w:tcPr>
          <w:p>
            <w:pPr>
              <w:spacing w:before="11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77" w:line="231" w:lineRule="auto"/>
              <w:ind w:left="118"/>
            </w:pPr>
            <w:r>
              <w:rPr>
                <w:spacing w:val="7"/>
              </w:rPr>
              <w:t>个人卫生设施略有不足。</w:t>
            </w:r>
          </w:p>
        </w:tc>
        <w:tc>
          <w:tcPr>
            <w:tcW w:w="467" w:type="dxa"/>
            <w:vAlign w:val="top"/>
          </w:tcPr>
          <w:p>
            <w:pPr>
              <w:spacing w:before="113"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65" w:line="229" w:lineRule="auto"/>
              <w:ind w:left="118"/>
            </w:pPr>
            <w:r>
              <w:rPr>
                <w:spacing w:val="8"/>
              </w:rPr>
              <w:t>个人卫生设施严重不符合要求。</w:t>
            </w:r>
          </w:p>
        </w:tc>
        <w:tc>
          <w:tcPr>
            <w:tcW w:w="467"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before="58"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709" w:type="dxa"/>
            <w:vMerge w:val="restart"/>
            <w:tcBorders>
              <w:bottom w:val="nil"/>
            </w:tcBorders>
            <w:vAlign w:val="top"/>
          </w:tcPr>
          <w:p>
            <w:pPr>
              <w:spacing w:line="330" w:lineRule="auto"/>
              <w:rPr>
                <w:rFonts w:ascii="Arial"/>
                <w:sz w:val="21"/>
              </w:rPr>
            </w:pPr>
          </w:p>
          <w:p>
            <w:pPr>
              <w:pStyle w:val="6"/>
              <w:spacing w:before="65" w:line="245" w:lineRule="auto"/>
              <w:ind w:left="146" w:right="148" w:firstLine="5"/>
            </w:pPr>
            <w:r>
              <w:rPr>
                <w:spacing w:val="2"/>
              </w:rPr>
              <w:t>通风</w:t>
            </w:r>
            <w:r>
              <w:t xml:space="preserve"> </w:t>
            </w:r>
            <w:r>
              <w:rPr>
                <w:spacing w:val="4"/>
              </w:rPr>
              <w:t>设施</w:t>
            </w:r>
          </w:p>
        </w:tc>
        <w:tc>
          <w:tcPr>
            <w:tcW w:w="5220" w:type="dxa"/>
            <w:vMerge w:val="restart"/>
            <w:tcBorders>
              <w:bottom w:val="nil"/>
            </w:tcBorders>
            <w:vAlign w:val="top"/>
          </w:tcPr>
          <w:p>
            <w:pPr>
              <w:pStyle w:val="6"/>
              <w:spacing w:before="121" w:line="251" w:lineRule="auto"/>
              <w:ind w:left="116" w:right="33"/>
              <w:jc w:val="both"/>
            </w:pPr>
            <w:r>
              <w:rPr>
                <w:spacing w:val="7"/>
              </w:rPr>
              <w:t>应当具有适宜的通风设施，进气口位置合理，避免空气</w:t>
            </w:r>
            <w:r>
              <w:rPr>
                <w:spacing w:val="18"/>
              </w:rPr>
              <w:t xml:space="preserve"> </w:t>
            </w:r>
            <w:r>
              <w:rPr>
                <w:spacing w:val="17"/>
              </w:rPr>
              <w:t>从清洁程度要求低的作业区域流向清洁程度要求</w:t>
            </w:r>
            <w:r>
              <w:rPr>
                <w:spacing w:val="16"/>
              </w:rPr>
              <w:t>高的</w:t>
            </w:r>
            <w:r>
              <w:t xml:space="preserve"> </w:t>
            </w:r>
            <w:r>
              <w:rPr>
                <w:spacing w:val="10"/>
              </w:rPr>
              <w:t>作业区域。必要时应当安装空气过滤装置和除尘设施。</w:t>
            </w:r>
            <w:r>
              <w:rPr>
                <w:spacing w:val="4"/>
              </w:rPr>
              <w:t xml:space="preserve"> </w:t>
            </w:r>
            <w:r>
              <w:rPr>
                <w:spacing w:val="2"/>
              </w:rPr>
              <w:t>通风设施应当易于清洁、维修或更换，能防止虫害侵入。</w:t>
            </w:r>
          </w:p>
        </w:tc>
        <w:tc>
          <w:tcPr>
            <w:tcW w:w="4811" w:type="dxa"/>
            <w:vAlign w:val="top"/>
          </w:tcPr>
          <w:p>
            <w:pPr>
              <w:pStyle w:val="6"/>
              <w:spacing w:before="79" w:line="229" w:lineRule="auto"/>
              <w:ind w:left="122"/>
            </w:pPr>
            <w:r>
              <w:rPr>
                <w:spacing w:val="5"/>
              </w:rPr>
              <w:t>符合规定要求。</w:t>
            </w:r>
          </w:p>
        </w:tc>
        <w:tc>
          <w:tcPr>
            <w:tcW w:w="467" w:type="dxa"/>
            <w:vAlign w:val="top"/>
          </w:tcPr>
          <w:p>
            <w:pPr>
              <w:spacing w:before="114"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78" w:line="231" w:lineRule="auto"/>
              <w:ind w:left="121"/>
            </w:pPr>
            <w:r>
              <w:rPr>
                <w:spacing w:val="6"/>
              </w:rPr>
              <w:t>通风设施略有不足。</w:t>
            </w:r>
          </w:p>
        </w:tc>
        <w:tc>
          <w:tcPr>
            <w:tcW w:w="467" w:type="dxa"/>
            <w:vAlign w:val="top"/>
          </w:tcPr>
          <w:p>
            <w:pPr>
              <w:spacing w:before="115"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9" w:line="233" w:lineRule="auto"/>
              <w:ind w:left="118" w:right="106" w:firstLine="3"/>
            </w:pPr>
            <w:r>
              <w:rPr>
                <w:spacing w:val="18"/>
              </w:rPr>
              <w:t>通风设施严重不足，不能满足必要的空气过滤净</w:t>
            </w:r>
            <w:r>
              <w:t xml:space="preserve"> </w:t>
            </w:r>
            <w:r>
              <w:rPr>
                <w:spacing w:val="8"/>
              </w:rPr>
              <w:t>化、除尘、防止虫害侵入的需求。</w:t>
            </w:r>
          </w:p>
        </w:tc>
        <w:tc>
          <w:tcPr>
            <w:tcW w:w="467" w:type="dxa"/>
            <w:vAlign w:val="top"/>
          </w:tcPr>
          <w:p>
            <w:pPr>
              <w:spacing w:before="223"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before="57"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709" w:type="dxa"/>
            <w:vMerge w:val="restart"/>
            <w:tcBorders>
              <w:bottom w:val="nil"/>
            </w:tcBorders>
            <w:vAlign w:val="top"/>
          </w:tcPr>
          <w:p>
            <w:pPr>
              <w:spacing w:line="404" w:lineRule="auto"/>
              <w:rPr>
                <w:rFonts w:ascii="Arial"/>
                <w:sz w:val="21"/>
              </w:rPr>
            </w:pPr>
          </w:p>
          <w:p>
            <w:pPr>
              <w:pStyle w:val="6"/>
              <w:spacing w:before="65" w:line="242" w:lineRule="auto"/>
              <w:ind w:left="146" w:right="148" w:firstLine="15"/>
            </w:pPr>
            <w:r>
              <w:rPr>
                <w:spacing w:val="-3"/>
              </w:rPr>
              <w:t>照明</w:t>
            </w:r>
            <w:r>
              <w:t xml:space="preserve"> </w:t>
            </w:r>
            <w:r>
              <w:rPr>
                <w:spacing w:val="4"/>
              </w:rPr>
              <w:t>设施</w:t>
            </w:r>
          </w:p>
        </w:tc>
        <w:tc>
          <w:tcPr>
            <w:tcW w:w="5220" w:type="dxa"/>
            <w:vMerge w:val="restart"/>
            <w:tcBorders>
              <w:bottom w:val="nil"/>
            </w:tcBorders>
            <w:vAlign w:val="top"/>
          </w:tcPr>
          <w:p>
            <w:pPr>
              <w:pStyle w:val="6"/>
              <w:spacing w:before="48" w:line="249" w:lineRule="auto"/>
              <w:ind w:left="116" w:right="107"/>
              <w:jc w:val="both"/>
            </w:pPr>
            <w:r>
              <w:rPr>
                <w:spacing w:val="8"/>
              </w:rPr>
              <w:t>厂房内应当有充足的自然采光或人工照明，光泽和</w:t>
            </w:r>
            <w:r>
              <w:rPr>
                <w:spacing w:val="7"/>
              </w:rPr>
              <w:t>亮度</w:t>
            </w:r>
            <w:r>
              <w:t xml:space="preserve"> </w:t>
            </w:r>
            <w:r>
              <w:rPr>
                <w:spacing w:val="8"/>
              </w:rPr>
              <w:t>应能满足生产和操作需要，光源应能使物料</w:t>
            </w:r>
            <w:r>
              <w:rPr>
                <w:spacing w:val="7"/>
              </w:rPr>
              <w:t>呈现真实的</w:t>
            </w:r>
            <w:r>
              <w:t xml:space="preserve"> </w:t>
            </w:r>
            <w:r>
              <w:rPr>
                <w:spacing w:val="8"/>
              </w:rPr>
              <w:t>颜色。在暴露原料、半成品、成品正上方的照明</w:t>
            </w:r>
            <w:r>
              <w:rPr>
                <w:spacing w:val="7"/>
              </w:rPr>
              <w:t>设施应</w:t>
            </w:r>
            <w:r>
              <w:t xml:space="preserve"> </w:t>
            </w:r>
            <w:r>
              <w:rPr>
                <w:spacing w:val="8"/>
              </w:rPr>
              <w:t>当使用安全型或有防护措施的照明设施；如</w:t>
            </w:r>
            <w:r>
              <w:rPr>
                <w:spacing w:val="7"/>
              </w:rPr>
              <w:t>需要，还应</w:t>
            </w:r>
            <w:r>
              <w:t xml:space="preserve"> </w:t>
            </w:r>
            <w:r>
              <w:rPr>
                <w:spacing w:val="7"/>
              </w:rPr>
              <w:t>当配备应急照明设施。</w:t>
            </w:r>
          </w:p>
        </w:tc>
        <w:tc>
          <w:tcPr>
            <w:tcW w:w="4811" w:type="dxa"/>
            <w:vAlign w:val="top"/>
          </w:tcPr>
          <w:p>
            <w:pPr>
              <w:pStyle w:val="6"/>
              <w:spacing w:before="79" w:line="229" w:lineRule="auto"/>
              <w:ind w:left="122"/>
            </w:pPr>
            <w:r>
              <w:rPr>
                <w:spacing w:val="5"/>
              </w:rPr>
              <w:t>符合规定要求。</w:t>
            </w:r>
          </w:p>
        </w:tc>
        <w:tc>
          <w:tcPr>
            <w:tcW w:w="467" w:type="dxa"/>
            <w:vAlign w:val="top"/>
          </w:tcPr>
          <w:p>
            <w:pPr>
              <w:spacing w:before="115"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47" w:line="234" w:lineRule="auto"/>
              <w:ind w:left="122" w:right="106"/>
            </w:pPr>
            <w:r>
              <w:rPr>
                <w:spacing w:val="8"/>
              </w:rPr>
              <w:t>照明设施或者防护措施略有不足，光泽和亮度略显</w:t>
            </w:r>
            <w:r>
              <w:t xml:space="preserve"> </w:t>
            </w:r>
            <w:r>
              <w:rPr>
                <w:spacing w:val="7"/>
              </w:rPr>
              <w:t>不足，或改变物料真实颜色。</w:t>
            </w:r>
          </w:p>
        </w:tc>
        <w:tc>
          <w:tcPr>
            <w:tcW w:w="467" w:type="dxa"/>
            <w:vAlign w:val="top"/>
          </w:tcPr>
          <w:p>
            <w:pPr>
              <w:spacing w:before="226"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150" w:line="231" w:lineRule="auto"/>
              <w:ind w:left="122"/>
            </w:pPr>
            <w:r>
              <w:rPr>
                <w:spacing w:val="7"/>
              </w:rPr>
              <w:t>照明设施或者防护措施严重不足。</w:t>
            </w:r>
          </w:p>
        </w:tc>
        <w:tc>
          <w:tcPr>
            <w:tcW w:w="467" w:type="dxa"/>
            <w:vAlign w:val="top"/>
          </w:tcPr>
          <w:p>
            <w:pPr>
              <w:spacing w:before="186"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6" w:type="default"/>
          <w:pgSz w:w="16839" w:h="11906"/>
          <w:pgMar w:top="1012" w:right="816" w:bottom="1168" w:left="1038" w:header="0" w:footer="994" w:gutter="0"/>
          <w:cols w:space="720" w:num="1"/>
        </w:sectPr>
      </w:pPr>
    </w:p>
    <w:p>
      <w:pPr>
        <w:spacing w:before="21"/>
      </w:pPr>
    </w:p>
    <w:p>
      <w:pPr>
        <w:spacing w:before="21"/>
      </w:pPr>
    </w:p>
    <w:p>
      <w:pPr>
        <w:spacing w:before="21"/>
      </w:pPr>
    </w:p>
    <w:tbl>
      <w:tblPr>
        <w:tblStyle w:val="5"/>
        <w:tblW w:w="14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09"/>
        <w:gridCol w:w="5220"/>
        <w:gridCol w:w="4811"/>
        <w:gridCol w:w="467"/>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extDirection w:val="tbRlV"/>
            <w:vAlign w:val="top"/>
          </w:tcPr>
          <w:p>
            <w:pPr>
              <w:spacing w:before="180"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709" w:type="dxa"/>
            <w:vAlign w:val="top"/>
          </w:tcPr>
          <w:p>
            <w:pPr>
              <w:spacing w:before="63" w:line="271" w:lineRule="auto"/>
              <w:ind w:left="145" w:right="148"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20" w:type="dxa"/>
            <w:vAlign w:val="top"/>
          </w:tcPr>
          <w:p>
            <w:pPr>
              <w:spacing w:before="226" w:line="231" w:lineRule="auto"/>
              <w:ind w:left="2193"/>
              <w:rPr>
                <w:rFonts w:ascii="黑体" w:hAnsi="黑体" w:eastAsia="黑体" w:cs="黑体"/>
                <w:sz w:val="20"/>
                <w:szCs w:val="20"/>
              </w:rPr>
            </w:pPr>
            <w:r>
              <w:rPr>
                <w:rFonts w:ascii="黑体" w:hAnsi="黑体" w:eastAsia="黑体" w:cs="黑体"/>
                <w:spacing w:val="7"/>
                <w:sz w:val="20"/>
                <w:szCs w:val="20"/>
              </w:rPr>
              <w:t>核查内容</w:t>
            </w:r>
          </w:p>
        </w:tc>
        <w:tc>
          <w:tcPr>
            <w:tcW w:w="5278" w:type="dxa"/>
            <w:gridSpan w:val="2"/>
            <w:vAlign w:val="top"/>
          </w:tcPr>
          <w:p>
            <w:pPr>
              <w:spacing w:before="226" w:line="230" w:lineRule="auto"/>
              <w:ind w:left="2222"/>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1" w:lineRule="auto"/>
              <w:ind w:left="282"/>
              <w:rPr>
                <w:rFonts w:ascii="黑体" w:hAnsi="黑体" w:eastAsia="黑体" w:cs="黑体"/>
                <w:sz w:val="20"/>
                <w:szCs w:val="20"/>
              </w:rPr>
            </w:pPr>
            <w:r>
              <w:rPr>
                <w:rFonts w:ascii="黑体" w:hAnsi="黑体" w:eastAsia="黑体" w:cs="黑体"/>
                <w:spacing w:val="7"/>
                <w:sz w:val="20"/>
                <w:szCs w:val="20"/>
              </w:rPr>
              <w:t>核查得分</w:t>
            </w:r>
          </w:p>
        </w:tc>
        <w:tc>
          <w:tcPr>
            <w:tcW w:w="1804" w:type="dxa"/>
            <w:vAlign w:val="top"/>
          </w:tcPr>
          <w:p>
            <w:pPr>
              <w:spacing w:before="226" w:line="230" w:lineRule="auto"/>
              <w:ind w:left="486"/>
              <w:rPr>
                <w:rFonts w:ascii="黑体" w:hAnsi="黑体" w:eastAsia="黑体" w:cs="黑体"/>
                <w:sz w:val="20"/>
                <w:szCs w:val="20"/>
              </w:rPr>
            </w:pPr>
            <w:r>
              <w:rPr>
                <w:rFonts w:ascii="黑体" w:hAnsi="黑体" w:eastAsia="黑体" w:cs="黑体"/>
                <w:spacing w:val="7"/>
                <w:sz w:val="20"/>
                <w:szCs w:val="20"/>
              </w:rPr>
              <w:t>核查记录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restart"/>
            <w:tcBorders>
              <w:bottom w:val="nil"/>
            </w:tcBorders>
            <w:vAlign w:val="top"/>
          </w:tcPr>
          <w:p>
            <w:pPr>
              <w:spacing w:line="400" w:lineRule="auto"/>
              <w:rPr>
                <w:rFonts w:ascii="Arial"/>
                <w:sz w:val="21"/>
              </w:rPr>
            </w:pPr>
          </w:p>
          <w:p>
            <w:pPr>
              <w:spacing w:before="58"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tc>
        <w:tc>
          <w:tcPr>
            <w:tcW w:w="709" w:type="dxa"/>
            <w:vMerge w:val="restart"/>
            <w:tcBorders>
              <w:bottom w:val="nil"/>
            </w:tcBorders>
            <w:vAlign w:val="top"/>
          </w:tcPr>
          <w:p>
            <w:pPr>
              <w:pStyle w:val="6"/>
              <w:spacing w:before="285" w:line="245" w:lineRule="auto"/>
              <w:ind w:left="146" w:right="148" w:firstLine="11"/>
            </w:pPr>
            <w:r>
              <w:rPr>
                <w:spacing w:val="-1"/>
              </w:rPr>
              <w:t>温控</w:t>
            </w:r>
            <w:r>
              <w:t xml:space="preserve"> </w:t>
            </w:r>
            <w:r>
              <w:rPr>
                <w:spacing w:val="4"/>
              </w:rPr>
              <w:t>设施</w:t>
            </w:r>
          </w:p>
        </w:tc>
        <w:tc>
          <w:tcPr>
            <w:tcW w:w="5220" w:type="dxa"/>
            <w:vMerge w:val="restart"/>
            <w:tcBorders>
              <w:bottom w:val="nil"/>
            </w:tcBorders>
            <w:vAlign w:val="top"/>
          </w:tcPr>
          <w:p>
            <w:pPr>
              <w:pStyle w:val="6"/>
              <w:spacing w:before="284" w:line="245" w:lineRule="auto"/>
              <w:ind w:left="119" w:right="107" w:hanging="2"/>
            </w:pPr>
            <w:r>
              <w:rPr>
                <w:spacing w:val="8"/>
              </w:rPr>
              <w:t>应当根据生产的需要，配备适宜的加热、冷却、</w:t>
            </w:r>
            <w:r>
              <w:rPr>
                <w:spacing w:val="7"/>
              </w:rPr>
              <w:t>冷冻以</w:t>
            </w:r>
            <w:r>
              <w:t xml:space="preserve"> </w:t>
            </w:r>
            <w:r>
              <w:rPr>
                <w:spacing w:val="8"/>
              </w:rPr>
              <w:t>及用于监测温度和控制室温的设施。</w:t>
            </w:r>
          </w:p>
        </w:tc>
        <w:tc>
          <w:tcPr>
            <w:tcW w:w="4811" w:type="dxa"/>
            <w:vAlign w:val="top"/>
          </w:tcPr>
          <w:p>
            <w:pPr>
              <w:pStyle w:val="6"/>
              <w:spacing w:before="74" w:line="229" w:lineRule="auto"/>
              <w:ind w:left="122"/>
            </w:pPr>
            <w:r>
              <w:rPr>
                <w:spacing w:val="5"/>
              </w:rPr>
              <w:t>符合规定要求。</w:t>
            </w:r>
          </w:p>
        </w:tc>
        <w:tc>
          <w:tcPr>
            <w:tcW w:w="467" w:type="dxa"/>
            <w:vAlign w:val="top"/>
          </w:tcPr>
          <w:p>
            <w:pPr>
              <w:spacing w:before="110"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75" w:line="231" w:lineRule="auto"/>
              <w:ind w:left="119"/>
            </w:pPr>
            <w:r>
              <w:rPr>
                <w:spacing w:val="7"/>
              </w:rPr>
              <w:t>温控或监测设施略有不足。</w:t>
            </w:r>
          </w:p>
        </w:tc>
        <w:tc>
          <w:tcPr>
            <w:tcW w:w="467" w:type="dxa"/>
            <w:vAlign w:val="top"/>
          </w:tcPr>
          <w:p>
            <w:pPr>
              <w:spacing w:before="111"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76" w:line="232" w:lineRule="auto"/>
              <w:ind w:left="119"/>
            </w:pPr>
            <w:r>
              <w:rPr>
                <w:spacing w:val="7"/>
              </w:rPr>
              <w:t>温控或监测设施严重不足。</w:t>
            </w:r>
          </w:p>
        </w:tc>
        <w:tc>
          <w:tcPr>
            <w:tcW w:w="467" w:type="dxa"/>
            <w:vAlign w:val="top"/>
          </w:tcPr>
          <w:p>
            <w:pPr>
              <w:spacing w:before="113"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57" w:line="195" w:lineRule="auto"/>
              <w:ind w:left="1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709" w:type="dxa"/>
            <w:vMerge w:val="restart"/>
            <w:tcBorders>
              <w:bottom w:val="nil"/>
            </w:tcBorders>
            <w:vAlign w:val="top"/>
          </w:tcPr>
          <w:p>
            <w:pPr>
              <w:rPr>
                <w:rFonts w:ascii="Arial"/>
                <w:sz w:val="21"/>
              </w:rPr>
            </w:pPr>
          </w:p>
          <w:p>
            <w:pPr>
              <w:rPr>
                <w:rFonts w:ascii="Arial"/>
                <w:sz w:val="21"/>
              </w:rPr>
            </w:pPr>
          </w:p>
          <w:p>
            <w:pPr>
              <w:rPr>
                <w:rFonts w:ascii="Arial"/>
                <w:sz w:val="21"/>
              </w:rPr>
            </w:pPr>
          </w:p>
          <w:p>
            <w:pPr>
              <w:pStyle w:val="6"/>
              <w:spacing w:before="65" w:line="248" w:lineRule="auto"/>
              <w:ind w:left="145" w:right="148" w:hanging="2"/>
              <w:jc w:val="both"/>
            </w:pPr>
            <w:r>
              <w:rPr>
                <w:spacing w:val="6"/>
              </w:rPr>
              <w:t>检验</w:t>
            </w:r>
            <w:r>
              <w:t xml:space="preserve"> </w:t>
            </w:r>
            <w:r>
              <w:rPr>
                <w:spacing w:val="4"/>
              </w:rPr>
              <w:t>设备</w:t>
            </w:r>
            <w:r>
              <w:t xml:space="preserve"> </w:t>
            </w:r>
            <w:r>
              <w:rPr>
                <w:spacing w:val="4"/>
              </w:rPr>
              <w:t>设施</w:t>
            </w:r>
          </w:p>
        </w:tc>
        <w:tc>
          <w:tcPr>
            <w:tcW w:w="5220" w:type="dxa"/>
            <w:vMerge w:val="restart"/>
            <w:tcBorders>
              <w:bottom w:val="nil"/>
            </w:tcBorders>
            <w:vAlign w:val="top"/>
          </w:tcPr>
          <w:p>
            <w:pPr>
              <w:spacing w:line="288" w:lineRule="auto"/>
              <w:rPr>
                <w:rFonts w:ascii="Arial"/>
                <w:sz w:val="21"/>
              </w:rPr>
            </w:pPr>
          </w:p>
          <w:p>
            <w:pPr>
              <w:spacing w:line="289" w:lineRule="auto"/>
              <w:rPr>
                <w:rFonts w:ascii="Arial"/>
                <w:sz w:val="21"/>
              </w:rPr>
            </w:pPr>
          </w:p>
          <w:p>
            <w:pPr>
              <w:pStyle w:val="6"/>
              <w:spacing w:before="65" w:line="251" w:lineRule="auto"/>
              <w:ind w:left="117" w:right="107" w:firstLine="39"/>
              <w:jc w:val="both"/>
            </w:pPr>
            <w:r>
              <w:rPr>
                <w:spacing w:val="6"/>
              </w:rPr>
              <w:t xml:space="preserve">自行检验或部分自行检验的，应当具备与所检项目相适 </w:t>
            </w:r>
            <w:r>
              <w:rPr>
                <w:spacing w:val="7"/>
              </w:rPr>
              <w:t>应的检验室、检验仪器设备和检验试剂。检验室应当布</w:t>
            </w:r>
            <w:r>
              <w:rPr>
                <w:spacing w:val="18"/>
              </w:rPr>
              <w:t xml:space="preserve"> </w:t>
            </w:r>
            <w:r>
              <w:rPr>
                <w:spacing w:val="8"/>
              </w:rPr>
              <w:t>局合理，检验仪器设备的数量、性能、精度应当</w:t>
            </w:r>
            <w:r>
              <w:rPr>
                <w:spacing w:val="7"/>
              </w:rPr>
              <w:t>满足相</w:t>
            </w:r>
            <w:r>
              <w:t xml:space="preserve"> </w:t>
            </w:r>
            <w:r>
              <w:rPr>
                <w:spacing w:val="8"/>
              </w:rPr>
              <w:t>应的检验需求，检验仪器设备应当按期检定或校准。</w:t>
            </w:r>
          </w:p>
        </w:tc>
        <w:tc>
          <w:tcPr>
            <w:tcW w:w="4811" w:type="dxa"/>
            <w:vAlign w:val="top"/>
          </w:tcPr>
          <w:p>
            <w:pPr>
              <w:pStyle w:val="6"/>
              <w:spacing w:before="78" w:line="229" w:lineRule="auto"/>
              <w:ind w:left="122"/>
            </w:pPr>
            <w:r>
              <w:rPr>
                <w:spacing w:val="5"/>
              </w:rPr>
              <w:t>符合规定要求。</w:t>
            </w:r>
          </w:p>
        </w:tc>
        <w:tc>
          <w:tcPr>
            <w:tcW w:w="467" w:type="dxa"/>
            <w:vAlign w:val="top"/>
          </w:tcPr>
          <w:p>
            <w:pPr>
              <w:spacing w:before="11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73" w:type="dxa"/>
            <w:vMerge w:val="continue"/>
            <w:tcBorders>
              <w:top w:val="nil"/>
              <w:bottom w:val="nil"/>
            </w:tcBorders>
            <w:vAlign w:val="top"/>
          </w:tcPr>
          <w:p>
            <w:pPr>
              <w:rPr>
                <w:rFonts w:ascii="Arial"/>
                <w:sz w:val="21"/>
              </w:rPr>
            </w:pPr>
          </w:p>
        </w:tc>
        <w:tc>
          <w:tcPr>
            <w:tcW w:w="709" w:type="dxa"/>
            <w:vMerge w:val="continue"/>
            <w:tcBorders>
              <w:top w:val="nil"/>
              <w:bottom w:val="nil"/>
            </w:tcBorders>
            <w:vAlign w:val="top"/>
          </w:tcPr>
          <w:p>
            <w:pPr>
              <w:rPr>
                <w:rFonts w:ascii="Arial"/>
                <w:sz w:val="21"/>
              </w:rPr>
            </w:pPr>
          </w:p>
        </w:tc>
        <w:tc>
          <w:tcPr>
            <w:tcW w:w="5220" w:type="dxa"/>
            <w:vMerge w:val="continue"/>
            <w:tcBorders>
              <w:top w:val="nil"/>
              <w:bottom w:val="nil"/>
            </w:tcBorders>
            <w:vAlign w:val="top"/>
          </w:tcPr>
          <w:p>
            <w:pPr>
              <w:rPr>
                <w:rFonts w:ascii="Arial"/>
                <w:sz w:val="21"/>
              </w:rPr>
            </w:pPr>
          </w:p>
        </w:tc>
        <w:tc>
          <w:tcPr>
            <w:tcW w:w="4811" w:type="dxa"/>
            <w:vAlign w:val="top"/>
          </w:tcPr>
          <w:p>
            <w:pPr>
              <w:pStyle w:val="6"/>
              <w:spacing w:before="47" w:line="234" w:lineRule="auto"/>
              <w:ind w:left="122" w:right="106" w:hanging="3"/>
            </w:pPr>
            <w:r>
              <w:rPr>
                <w:spacing w:val="8"/>
              </w:rPr>
              <w:t>检验室布局略不合理，或者检验仪器设备性能略有</w:t>
            </w:r>
            <w:r>
              <w:rPr>
                <w:spacing w:val="3"/>
              </w:rPr>
              <w:t xml:space="preserve"> </w:t>
            </w:r>
            <w:r>
              <w:rPr>
                <w:spacing w:val="7"/>
              </w:rPr>
              <w:t>不足，或者个别检验仪器设备未按期检定或校准。</w:t>
            </w:r>
          </w:p>
        </w:tc>
        <w:tc>
          <w:tcPr>
            <w:tcW w:w="467" w:type="dxa"/>
            <w:vAlign w:val="top"/>
          </w:tcPr>
          <w:p>
            <w:pPr>
              <w:spacing w:before="224" w:line="195"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7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5220" w:type="dxa"/>
            <w:vMerge w:val="continue"/>
            <w:tcBorders>
              <w:top w:val="nil"/>
            </w:tcBorders>
            <w:vAlign w:val="top"/>
          </w:tcPr>
          <w:p>
            <w:pPr>
              <w:rPr>
                <w:rFonts w:ascii="Arial"/>
                <w:sz w:val="21"/>
              </w:rPr>
            </w:pPr>
          </w:p>
        </w:tc>
        <w:tc>
          <w:tcPr>
            <w:tcW w:w="4811" w:type="dxa"/>
            <w:vAlign w:val="top"/>
          </w:tcPr>
          <w:p>
            <w:pPr>
              <w:pStyle w:val="6"/>
              <w:spacing w:before="48" w:line="243" w:lineRule="auto"/>
              <w:ind w:left="118" w:right="106" w:firstLine="9"/>
            </w:pPr>
            <w:r>
              <w:rPr>
                <w:rFonts w:ascii="Times New Roman" w:hAnsi="Times New Roman" w:eastAsia="Times New Roman" w:cs="Times New Roman"/>
                <w:spacing w:val="9"/>
              </w:rPr>
              <w:t>1.</w:t>
            </w:r>
            <w:r>
              <w:rPr>
                <w:spacing w:val="9"/>
              </w:rPr>
              <w:t>检验室布局不合理，严重影响检验工作的正常开</w:t>
            </w:r>
            <w:r>
              <w:rPr>
                <w:spacing w:val="13"/>
              </w:rPr>
              <w:t xml:space="preserve"> </w:t>
            </w:r>
            <w:r>
              <w:rPr>
                <w:spacing w:val="7"/>
              </w:rPr>
              <w:t>展或检测数据的准确性。</w:t>
            </w:r>
          </w:p>
          <w:p>
            <w:pPr>
              <w:pStyle w:val="6"/>
              <w:spacing w:before="33" w:line="245" w:lineRule="auto"/>
              <w:ind w:left="122" w:right="106" w:hanging="15"/>
            </w:pPr>
            <w:r>
              <w:rPr>
                <w:rFonts w:ascii="Times New Roman" w:hAnsi="Times New Roman" w:eastAsia="Times New Roman" w:cs="Times New Roman"/>
                <w:spacing w:val="10"/>
              </w:rPr>
              <w:t>2.</w:t>
            </w:r>
            <w:r>
              <w:rPr>
                <w:spacing w:val="10"/>
              </w:rPr>
              <w:t xml:space="preserve">检验仪器设备数量、性能、精度不能满足检验需 </w:t>
            </w:r>
            <w:r>
              <w:rPr>
                <w:spacing w:val="-6"/>
              </w:rPr>
              <w:t>求。</w:t>
            </w:r>
          </w:p>
          <w:p>
            <w:pPr>
              <w:pStyle w:val="6"/>
              <w:spacing w:before="28" w:line="213" w:lineRule="auto"/>
              <w:ind w:left="112"/>
            </w:pPr>
            <w:r>
              <w:rPr>
                <w:rFonts w:ascii="Times New Roman" w:hAnsi="Times New Roman" w:eastAsia="Times New Roman" w:cs="Times New Roman"/>
                <w:spacing w:val="7"/>
              </w:rPr>
              <w:t>3.</w:t>
            </w:r>
            <w:r>
              <w:rPr>
                <w:spacing w:val="7"/>
              </w:rPr>
              <w:t>检验仪器设备未检定或校准。</w:t>
            </w:r>
          </w:p>
        </w:tc>
        <w:tc>
          <w:tcPr>
            <w:tcW w:w="467" w:type="dxa"/>
            <w:vAlign w:val="top"/>
          </w:tcPr>
          <w:p>
            <w:pPr>
              <w:spacing w:line="291" w:lineRule="auto"/>
              <w:rPr>
                <w:rFonts w:ascii="Arial"/>
                <w:sz w:val="21"/>
              </w:rPr>
            </w:pPr>
          </w:p>
          <w:p>
            <w:pPr>
              <w:spacing w:line="292" w:lineRule="auto"/>
              <w:rPr>
                <w:rFonts w:ascii="Arial"/>
                <w:sz w:val="21"/>
              </w:rPr>
            </w:pPr>
          </w:p>
          <w:p>
            <w:pPr>
              <w:spacing w:before="5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bl>
    <w:p>
      <w:pPr>
        <w:spacing w:line="270" w:lineRule="auto"/>
        <w:rPr>
          <w:rFonts w:ascii="Arial"/>
          <w:sz w:val="21"/>
        </w:rPr>
      </w:pPr>
    </w:p>
    <w:p>
      <w:pPr>
        <w:spacing w:before="100" w:line="226" w:lineRule="auto"/>
        <w:ind w:left="5160"/>
        <w:outlineLvl w:val="0"/>
        <w:rPr>
          <w:rFonts w:ascii="黑体" w:hAnsi="黑体" w:eastAsia="黑体" w:cs="黑体"/>
          <w:sz w:val="31"/>
          <w:szCs w:val="31"/>
        </w:rPr>
      </w:pPr>
      <w:r>
        <w:rPr>
          <w:rFonts w:ascii="黑体" w:hAnsi="黑体" w:eastAsia="黑体" w:cs="黑体"/>
          <w:spacing w:val="5"/>
          <w:sz w:val="31"/>
          <w:szCs w:val="31"/>
        </w:rPr>
        <w:t>三、设备布局和工艺流程（共</w:t>
      </w:r>
      <w:r>
        <w:rPr>
          <w:rFonts w:ascii="黑体" w:hAnsi="黑体" w:eastAsia="黑体" w:cs="黑体"/>
          <w:spacing w:val="-54"/>
          <w:sz w:val="31"/>
          <w:szCs w:val="31"/>
        </w:rPr>
        <w:t xml:space="preserve"> </w:t>
      </w:r>
      <w:r>
        <w:rPr>
          <w:rFonts w:ascii="Times New Roman" w:hAnsi="Times New Roman" w:eastAsia="Times New Roman" w:cs="Times New Roman"/>
          <w:spacing w:val="5"/>
          <w:sz w:val="31"/>
          <w:szCs w:val="31"/>
        </w:rPr>
        <w:t>9</w:t>
      </w:r>
      <w:r>
        <w:rPr>
          <w:rFonts w:ascii="Times New Roman" w:hAnsi="Times New Roman" w:eastAsia="Times New Roman" w:cs="Times New Roman"/>
          <w:spacing w:val="24"/>
          <w:sz w:val="31"/>
          <w:szCs w:val="31"/>
        </w:rPr>
        <w:t xml:space="preserve"> </w:t>
      </w:r>
      <w:r>
        <w:rPr>
          <w:rFonts w:ascii="黑体" w:hAnsi="黑体" w:eastAsia="黑体" w:cs="黑体"/>
          <w:spacing w:val="5"/>
          <w:sz w:val="31"/>
          <w:szCs w:val="31"/>
        </w:rPr>
        <w:t>分）</w:t>
      </w:r>
    </w:p>
    <w:p>
      <w:pPr>
        <w:spacing w:line="137" w:lineRule="exact"/>
      </w:pPr>
    </w:p>
    <w:tbl>
      <w:tblPr>
        <w:tblStyle w:val="5"/>
        <w:tblW w:w="14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681"/>
        <w:gridCol w:w="5263"/>
        <w:gridCol w:w="4693"/>
        <w:gridCol w:w="570"/>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extDirection w:val="tbRlV"/>
            <w:vAlign w:val="top"/>
          </w:tcPr>
          <w:p>
            <w:pPr>
              <w:spacing w:before="180" w:line="216" w:lineRule="auto"/>
              <w:ind w:left="64"/>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1"/>
                <w:sz w:val="20"/>
                <w:szCs w:val="20"/>
              </w:rPr>
              <w:t xml:space="preserve"> </w:t>
            </w:r>
            <w:r>
              <w:rPr>
                <w:rFonts w:ascii="黑体" w:hAnsi="黑体" w:eastAsia="黑体" w:cs="黑体"/>
                <w:spacing w:val="12"/>
                <w:sz w:val="20"/>
                <w:szCs w:val="20"/>
              </w:rPr>
              <w:t>号</w:t>
            </w:r>
          </w:p>
        </w:tc>
        <w:tc>
          <w:tcPr>
            <w:tcW w:w="681" w:type="dxa"/>
            <w:vAlign w:val="top"/>
          </w:tcPr>
          <w:p>
            <w:pPr>
              <w:spacing w:before="94" w:line="245" w:lineRule="auto"/>
              <w:ind w:left="131" w:right="134"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63" w:type="dxa"/>
            <w:vAlign w:val="top"/>
          </w:tcPr>
          <w:p>
            <w:pPr>
              <w:spacing w:before="234" w:line="231" w:lineRule="auto"/>
              <w:ind w:left="2214"/>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34" w:line="230" w:lineRule="auto"/>
              <w:ind w:left="2215"/>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34" w:line="230" w:lineRule="auto"/>
              <w:ind w:left="282"/>
              <w:rPr>
                <w:rFonts w:ascii="黑体" w:hAnsi="黑体" w:eastAsia="黑体" w:cs="黑体"/>
                <w:sz w:val="20"/>
                <w:szCs w:val="20"/>
              </w:rPr>
            </w:pPr>
            <w:r>
              <w:rPr>
                <w:rFonts w:ascii="黑体" w:hAnsi="黑体" w:eastAsia="黑体" w:cs="黑体"/>
                <w:spacing w:val="7"/>
                <w:sz w:val="20"/>
                <w:szCs w:val="20"/>
              </w:rPr>
              <w:t>核查记录</w:t>
            </w:r>
          </w:p>
        </w:tc>
        <w:tc>
          <w:tcPr>
            <w:tcW w:w="1804" w:type="dxa"/>
            <w:vAlign w:val="top"/>
          </w:tcPr>
          <w:p>
            <w:pPr>
              <w:spacing w:before="235" w:line="231" w:lineRule="auto"/>
              <w:ind w:left="486"/>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restart"/>
            <w:tcBorders>
              <w:bottom w:val="nil"/>
            </w:tcBorders>
            <w:vAlign w:val="top"/>
          </w:tcPr>
          <w:p>
            <w:pPr>
              <w:spacing w:line="401" w:lineRule="auto"/>
              <w:rPr>
                <w:rFonts w:ascii="Arial"/>
                <w:sz w:val="21"/>
              </w:rPr>
            </w:pPr>
          </w:p>
          <w:p>
            <w:pPr>
              <w:spacing w:before="57" w:line="195" w:lineRule="auto"/>
              <w:ind w:left="16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681" w:type="dxa"/>
            <w:vMerge w:val="restart"/>
            <w:tcBorders>
              <w:bottom w:val="nil"/>
            </w:tcBorders>
            <w:vAlign w:val="top"/>
          </w:tcPr>
          <w:p>
            <w:pPr>
              <w:pStyle w:val="6"/>
              <w:spacing w:before="286" w:line="241" w:lineRule="auto"/>
              <w:ind w:left="107" w:right="156" w:firstLine="2"/>
            </w:pPr>
            <w:r>
              <w:rPr>
                <w:spacing w:val="4"/>
              </w:rPr>
              <w:t>设备</w:t>
            </w:r>
            <w:r>
              <w:t xml:space="preserve"> </w:t>
            </w:r>
            <w:r>
              <w:rPr>
                <w:spacing w:val="6"/>
              </w:rPr>
              <w:t>布局</w:t>
            </w:r>
          </w:p>
        </w:tc>
        <w:tc>
          <w:tcPr>
            <w:tcW w:w="5263" w:type="dxa"/>
            <w:vMerge w:val="restart"/>
            <w:tcBorders>
              <w:bottom w:val="nil"/>
            </w:tcBorders>
            <w:vAlign w:val="top"/>
          </w:tcPr>
          <w:p>
            <w:pPr>
              <w:pStyle w:val="6"/>
              <w:spacing w:before="286" w:line="243" w:lineRule="auto"/>
              <w:ind w:left="119" w:right="108" w:firstLine="9"/>
            </w:pPr>
            <w:r>
              <w:rPr>
                <w:spacing w:val="9"/>
              </w:rPr>
              <w:t>生产设备应当按照工艺流程有序排列，合理布局，便于</w:t>
            </w:r>
            <w:r>
              <w:rPr>
                <w:spacing w:val="4"/>
              </w:rPr>
              <w:t xml:space="preserve"> </w:t>
            </w:r>
            <w:r>
              <w:rPr>
                <w:spacing w:val="8"/>
              </w:rPr>
              <w:t>清洁、消毒和维修保养，避免交叉污染。</w:t>
            </w:r>
          </w:p>
        </w:tc>
        <w:tc>
          <w:tcPr>
            <w:tcW w:w="4693" w:type="dxa"/>
            <w:vAlign w:val="top"/>
          </w:tcPr>
          <w:p>
            <w:pPr>
              <w:pStyle w:val="6"/>
              <w:spacing w:before="75" w:line="229" w:lineRule="auto"/>
              <w:ind w:left="124"/>
            </w:pPr>
            <w:r>
              <w:rPr>
                <w:spacing w:val="5"/>
              </w:rPr>
              <w:t>符合规定要求。</w:t>
            </w:r>
          </w:p>
        </w:tc>
        <w:tc>
          <w:tcPr>
            <w:tcW w:w="570" w:type="dxa"/>
            <w:vAlign w:val="top"/>
          </w:tcPr>
          <w:p>
            <w:pPr>
              <w:spacing w:before="110"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continue"/>
            <w:tcBorders>
              <w:top w:val="nil"/>
              <w:bottom w:val="nil"/>
            </w:tcBorders>
            <w:vAlign w:val="top"/>
          </w:tcPr>
          <w:p>
            <w:pPr>
              <w:rPr>
                <w:rFonts w:ascii="Arial"/>
                <w:sz w:val="21"/>
              </w:rPr>
            </w:pPr>
          </w:p>
        </w:tc>
        <w:tc>
          <w:tcPr>
            <w:tcW w:w="681" w:type="dxa"/>
            <w:vMerge w:val="continue"/>
            <w:tcBorders>
              <w:top w:val="nil"/>
              <w:bottom w:val="nil"/>
            </w:tcBorders>
            <w:vAlign w:val="top"/>
          </w:tcPr>
          <w:p>
            <w:pPr>
              <w:rPr>
                <w:rFonts w:ascii="Arial"/>
                <w:sz w:val="21"/>
              </w:rPr>
            </w:pPr>
          </w:p>
        </w:tc>
        <w:tc>
          <w:tcPr>
            <w:tcW w:w="5263" w:type="dxa"/>
            <w:vMerge w:val="continue"/>
            <w:tcBorders>
              <w:top w:val="nil"/>
              <w:bottom w:val="nil"/>
            </w:tcBorders>
            <w:vAlign w:val="top"/>
          </w:tcPr>
          <w:p>
            <w:pPr>
              <w:rPr>
                <w:rFonts w:ascii="Arial"/>
                <w:sz w:val="21"/>
              </w:rPr>
            </w:pPr>
          </w:p>
        </w:tc>
        <w:tc>
          <w:tcPr>
            <w:tcW w:w="4693" w:type="dxa"/>
            <w:vAlign w:val="top"/>
          </w:tcPr>
          <w:p>
            <w:pPr>
              <w:pStyle w:val="6"/>
              <w:spacing w:before="76" w:line="229" w:lineRule="auto"/>
              <w:ind w:left="120"/>
            </w:pPr>
            <w:r>
              <w:rPr>
                <w:spacing w:val="7"/>
              </w:rPr>
              <w:t>个别设备布局不合理。</w:t>
            </w:r>
          </w:p>
        </w:tc>
        <w:tc>
          <w:tcPr>
            <w:tcW w:w="570" w:type="dxa"/>
            <w:vAlign w:val="top"/>
          </w:tcPr>
          <w:p>
            <w:pPr>
              <w:spacing w:before="112"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continue"/>
            <w:tcBorders>
              <w:top w:val="nil"/>
            </w:tcBorders>
            <w:vAlign w:val="top"/>
          </w:tcPr>
          <w:p>
            <w:pPr>
              <w:rPr>
                <w:rFonts w:ascii="Arial"/>
                <w:sz w:val="21"/>
              </w:rPr>
            </w:pPr>
          </w:p>
        </w:tc>
        <w:tc>
          <w:tcPr>
            <w:tcW w:w="681" w:type="dxa"/>
            <w:vMerge w:val="continue"/>
            <w:tcBorders>
              <w:top w:val="nil"/>
            </w:tcBorders>
            <w:vAlign w:val="top"/>
          </w:tcPr>
          <w:p>
            <w:pPr>
              <w:rPr>
                <w:rFonts w:ascii="Arial"/>
                <w:sz w:val="21"/>
              </w:rPr>
            </w:pPr>
          </w:p>
        </w:tc>
        <w:tc>
          <w:tcPr>
            <w:tcW w:w="5263" w:type="dxa"/>
            <w:vMerge w:val="continue"/>
            <w:tcBorders>
              <w:top w:val="nil"/>
            </w:tcBorders>
            <w:vAlign w:val="top"/>
          </w:tcPr>
          <w:p>
            <w:pPr>
              <w:rPr>
                <w:rFonts w:ascii="Arial"/>
                <w:sz w:val="21"/>
              </w:rPr>
            </w:pPr>
          </w:p>
        </w:tc>
        <w:tc>
          <w:tcPr>
            <w:tcW w:w="4693" w:type="dxa"/>
            <w:vAlign w:val="top"/>
          </w:tcPr>
          <w:p>
            <w:pPr>
              <w:pStyle w:val="6"/>
              <w:spacing w:before="77" w:line="228" w:lineRule="auto"/>
              <w:ind w:left="118"/>
            </w:pPr>
            <w:r>
              <w:rPr>
                <w:spacing w:val="7"/>
              </w:rPr>
              <w:t>设备布局存在交叉污染。</w:t>
            </w:r>
          </w:p>
        </w:tc>
        <w:tc>
          <w:tcPr>
            <w:tcW w:w="570" w:type="dxa"/>
            <w:vAlign w:val="top"/>
          </w:tcPr>
          <w:p>
            <w:pPr>
              <w:spacing w:before="113"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restart"/>
            <w:tcBorders>
              <w:bottom w:val="nil"/>
            </w:tcBorders>
            <w:vAlign w:val="top"/>
          </w:tcPr>
          <w:p>
            <w:pPr>
              <w:spacing w:line="326" w:lineRule="auto"/>
              <w:rPr>
                <w:rFonts w:ascii="Arial"/>
                <w:sz w:val="21"/>
              </w:rPr>
            </w:pPr>
          </w:p>
          <w:p>
            <w:pPr>
              <w:spacing w:line="327" w:lineRule="auto"/>
              <w:rPr>
                <w:rFonts w:ascii="Arial"/>
                <w:sz w:val="21"/>
              </w:rPr>
            </w:pPr>
          </w:p>
          <w:p>
            <w:pPr>
              <w:spacing w:before="58" w:line="195" w:lineRule="auto"/>
              <w:ind w:left="160"/>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681" w:type="dxa"/>
            <w:vMerge w:val="restart"/>
            <w:tcBorders>
              <w:bottom w:val="nil"/>
            </w:tcBorders>
            <w:vAlign w:val="top"/>
          </w:tcPr>
          <w:p>
            <w:pPr>
              <w:spacing w:line="471" w:lineRule="auto"/>
              <w:rPr>
                <w:rFonts w:ascii="Arial"/>
                <w:sz w:val="21"/>
              </w:rPr>
            </w:pPr>
          </w:p>
          <w:p>
            <w:pPr>
              <w:pStyle w:val="6"/>
              <w:spacing w:before="65" w:line="244" w:lineRule="auto"/>
              <w:ind w:left="111" w:right="156" w:firstLine="4"/>
            </w:pPr>
            <w:r>
              <w:rPr>
                <w:spacing w:val="2"/>
              </w:rPr>
              <w:t>工艺</w:t>
            </w:r>
            <w:r>
              <w:t xml:space="preserve"> </w:t>
            </w:r>
            <w:r>
              <w:rPr>
                <w:spacing w:val="4"/>
              </w:rPr>
              <w:t>流程</w:t>
            </w:r>
          </w:p>
        </w:tc>
        <w:tc>
          <w:tcPr>
            <w:tcW w:w="5263" w:type="dxa"/>
            <w:vMerge w:val="restart"/>
            <w:tcBorders>
              <w:bottom w:val="nil"/>
            </w:tcBorders>
            <w:vAlign w:val="top"/>
          </w:tcPr>
          <w:p>
            <w:pPr>
              <w:pStyle w:val="6"/>
              <w:spacing w:before="115" w:line="253" w:lineRule="auto"/>
              <w:ind w:left="118" w:right="105" w:firstLine="8"/>
            </w:pPr>
            <w:r>
              <w:rPr>
                <w:rFonts w:ascii="Times New Roman" w:hAnsi="Times New Roman" w:eastAsia="Times New Roman" w:cs="Times New Roman"/>
                <w:spacing w:val="11"/>
              </w:rPr>
              <w:t>1.</w:t>
            </w:r>
            <w:r>
              <w:rPr>
                <w:spacing w:val="11"/>
              </w:rPr>
              <w:t>应当具备合理的生产工艺流程，防止生产过程中造成</w:t>
            </w:r>
            <w:r>
              <w:t xml:space="preserve"> </w:t>
            </w:r>
            <w:r>
              <w:rPr>
                <w:spacing w:val="7"/>
              </w:rPr>
              <w:t>交叉污染。应严格按照食品安全国家标准、</w:t>
            </w:r>
            <w:r>
              <w:rPr>
                <w:spacing w:val="-38"/>
              </w:rPr>
              <w:t xml:space="preserve"> </w:t>
            </w:r>
            <w:r>
              <w:rPr>
                <w:spacing w:val="7"/>
              </w:rPr>
              <w:t>国务院卫生</w:t>
            </w:r>
            <w:r>
              <w:t xml:space="preserve"> </w:t>
            </w:r>
            <w:r>
              <w:rPr>
                <w:spacing w:val="9"/>
              </w:rPr>
              <w:t>行政部门公告规定的原料、工艺组织生产食品添加剂。</w:t>
            </w:r>
            <w:r>
              <w:rPr>
                <w:spacing w:val="17"/>
              </w:rPr>
              <w:t xml:space="preserve"> </w:t>
            </w:r>
            <w:r>
              <w:rPr>
                <w:spacing w:val="9"/>
              </w:rPr>
              <w:t>对于标准、公告未规定原料和工艺的食品添加剂，企业</w:t>
            </w:r>
            <w:r>
              <w:rPr>
                <w:spacing w:val="14"/>
              </w:rPr>
              <w:t xml:space="preserve"> </w:t>
            </w:r>
            <w:r>
              <w:rPr>
                <w:spacing w:val="9"/>
              </w:rPr>
              <w:t>可自行选择合适的原料和工艺，企业应加强生产过程管</w:t>
            </w:r>
          </w:p>
        </w:tc>
        <w:tc>
          <w:tcPr>
            <w:tcW w:w="4693" w:type="dxa"/>
            <w:vAlign w:val="top"/>
          </w:tcPr>
          <w:p>
            <w:pPr>
              <w:pStyle w:val="6"/>
              <w:spacing w:before="79" w:line="229" w:lineRule="auto"/>
              <w:ind w:left="124"/>
            </w:pPr>
            <w:r>
              <w:rPr>
                <w:spacing w:val="5"/>
              </w:rPr>
              <w:t>符合规定要求。</w:t>
            </w:r>
          </w:p>
        </w:tc>
        <w:tc>
          <w:tcPr>
            <w:tcW w:w="570" w:type="dxa"/>
            <w:vAlign w:val="top"/>
          </w:tcPr>
          <w:p>
            <w:pPr>
              <w:spacing w:before="115"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pPr>
              <w:rPr>
                <w:rFonts w:ascii="Arial"/>
                <w:sz w:val="21"/>
              </w:rPr>
            </w:pPr>
          </w:p>
        </w:tc>
        <w:tc>
          <w:tcPr>
            <w:tcW w:w="681" w:type="dxa"/>
            <w:vMerge w:val="continue"/>
            <w:tcBorders>
              <w:top w:val="nil"/>
              <w:bottom w:val="nil"/>
            </w:tcBorders>
            <w:vAlign w:val="top"/>
          </w:tcPr>
          <w:p>
            <w:pPr>
              <w:rPr>
                <w:rFonts w:ascii="Arial"/>
                <w:sz w:val="21"/>
              </w:rPr>
            </w:pPr>
          </w:p>
        </w:tc>
        <w:tc>
          <w:tcPr>
            <w:tcW w:w="5263" w:type="dxa"/>
            <w:vMerge w:val="continue"/>
            <w:tcBorders>
              <w:top w:val="nil"/>
              <w:bottom w:val="nil"/>
            </w:tcBorders>
            <w:vAlign w:val="top"/>
          </w:tcPr>
          <w:p>
            <w:pPr>
              <w:rPr>
                <w:rFonts w:ascii="Arial"/>
                <w:sz w:val="21"/>
              </w:rPr>
            </w:pPr>
          </w:p>
        </w:tc>
        <w:tc>
          <w:tcPr>
            <w:tcW w:w="4693" w:type="dxa"/>
            <w:vAlign w:val="top"/>
          </w:tcPr>
          <w:p>
            <w:pPr>
              <w:pStyle w:val="6"/>
              <w:spacing w:before="78" w:line="231" w:lineRule="auto"/>
              <w:ind w:left="120"/>
            </w:pPr>
            <w:r>
              <w:rPr>
                <w:spacing w:val="7"/>
              </w:rPr>
              <w:t>个别工艺流程略不合理。</w:t>
            </w:r>
          </w:p>
        </w:tc>
        <w:tc>
          <w:tcPr>
            <w:tcW w:w="570" w:type="dxa"/>
            <w:vAlign w:val="top"/>
          </w:tcPr>
          <w:p>
            <w:pPr>
              <w:spacing w:before="114"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573" w:type="dxa"/>
            <w:vMerge w:val="continue"/>
            <w:tcBorders>
              <w:top w:val="nil"/>
            </w:tcBorders>
            <w:vAlign w:val="top"/>
          </w:tcPr>
          <w:p>
            <w:pPr>
              <w:rPr>
                <w:rFonts w:ascii="Arial"/>
                <w:sz w:val="21"/>
              </w:rPr>
            </w:pPr>
          </w:p>
        </w:tc>
        <w:tc>
          <w:tcPr>
            <w:tcW w:w="681" w:type="dxa"/>
            <w:vMerge w:val="continue"/>
            <w:tcBorders>
              <w:top w:val="nil"/>
            </w:tcBorders>
            <w:vAlign w:val="top"/>
          </w:tcPr>
          <w:p>
            <w:pPr>
              <w:rPr>
                <w:rFonts w:ascii="Arial"/>
                <w:sz w:val="21"/>
              </w:rPr>
            </w:pPr>
          </w:p>
        </w:tc>
        <w:tc>
          <w:tcPr>
            <w:tcW w:w="5263" w:type="dxa"/>
            <w:vMerge w:val="continue"/>
            <w:tcBorders>
              <w:top w:val="nil"/>
            </w:tcBorders>
            <w:vAlign w:val="top"/>
          </w:tcPr>
          <w:p>
            <w:pPr>
              <w:rPr>
                <w:rFonts w:ascii="Arial"/>
                <w:sz w:val="21"/>
              </w:rPr>
            </w:pPr>
          </w:p>
        </w:tc>
        <w:tc>
          <w:tcPr>
            <w:tcW w:w="4693" w:type="dxa"/>
            <w:vAlign w:val="top"/>
          </w:tcPr>
          <w:p>
            <w:pPr>
              <w:pStyle w:val="6"/>
              <w:spacing w:before="50" w:line="242" w:lineRule="auto"/>
              <w:ind w:left="123" w:right="104" w:firstLine="6"/>
              <w:jc w:val="both"/>
            </w:pPr>
            <w:r>
              <w:rPr>
                <w:rFonts w:ascii="Times New Roman" w:hAnsi="Times New Roman" w:eastAsia="Times New Roman" w:cs="Times New Roman"/>
                <w:spacing w:val="4"/>
              </w:rPr>
              <w:t>1.</w:t>
            </w:r>
            <w:r>
              <w:rPr>
                <w:spacing w:val="4"/>
              </w:rPr>
              <w:t>原料和工艺流程不符合食品安全国家标准、国务</w:t>
            </w:r>
            <w:r>
              <w:rPr>
                <w:spacing w:val="11"/>
              </w:rPr>
              <w:t xml:space="preserve"> </w:t>
            </w:r>
            <w:r>
              <w:rPr>
                <w:spacing w:val="12"/>
              </w:rPr>
              <w:t>院卫生行政部门公告，或对于标准、公告未规定</w:t>
            </w:r>
            <w:r>
              <w:rPr>
                <w:spacing w:val="7"/>
              </w:rPr>
              <w:t xml:space="preserve"> </w:t>
            </w:r>
            <w:r>
              <w:rPr>
                <w:spacing w:val="12"/>
              </w:rPr>
              <w:t>原料和工艺的食品添加剂，企业没有加强生产过</w:t>
            </w:r>
          </w:p>
        </w:tc>
        <w:tc>
          <w:tcPr>
            <w:tcW w:w="570" w:type="dxa"/>
            <w:vAlign w:val="top"/>
          </w:tcPr>
          <w:p>
            <w:pPr>
              <w:spacing w:line="304" w:lineRule="auto"/>
              <w:rPr>
                <w:rFonts w:ascii="Arial"/>
                <w:sz w:val="21"/>
              </w:rPr>
            </w:pPr>
          </w:p>
          <w:p>
            <w:pPr>
              <w:spacing w:before="58"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7" w:type="default"/>
          <w:pgSz w:w="16839" w:h="11906"/>
          <w:pgMar w:top="1012" w:right="816" w:bottom="1168" w:left="1038" w:header="0" w:footer="994" w:gutter="0"/>
          <w:cols w:space="720" w:num="1"/>
        </w:sectPr>
      </w:pPr>
    </w:p>
    <w:p>
      <w:pPr>
        <w:spacing w:before="21"/>
      </w:pPr>
    </w:p>
    <w:p>
      <w:pPr>
        <w:spacing w:before="21"/>
      </w:pPr>
    </w:p>
    <w:p>
      <w:pPr>
        <w:spacing w:before="21"/>
      </w:pPr>
    </w:p>
    <w:tbl>
      <w:tblPr>
        <w:tblStyle w:val="5"/>
        <w:tblW w:w="14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681"/>
        <w:gridCol w:w="5263"/>
        <w:gridCol w:w="4693"/>
        <w:gridCol w:w="570"/>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extDirection w:val="tbRlV"/>
            <w:vAlign w:val="top"/>
          </w:tcPr>
          <w:p>
            <w:pPr>
              <w:spacing w:before="180"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81" w:type="dxa"/>
            <w:vAlign w:val="top"/>
          </w:tcPr>
          <w:p>
            <w:pPr>
              <w:spacing w:before="93" w:line="245" w:lineRule="auto"/>
              <w:ind w:left="131" w:right="134"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63" w:type="dxa"/>
            <w:vAlign w:val="top"/>
          </w:tcPr>
          <w:p>
            <w:pPr>
              <w:spacing w:before="236" w:line="231" w:lineRule="auto"/>
              <w:ind w:left="2214"/>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36" w:line="230" w:lineRule="auto"/>
              <w:ind w:left="2215"/>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36" w:line="230" w:lineRule="auto"/>
              <w:ind w:left="282"/>
              <w:rPr>
                <w:rFonts w:ascii="黑体" w:hAnsi="黑体" w:eastAsia="黑体" w:cs="黑体"/>
                <w:sz w:val="20"/>
                <w:szCs w:val="20"/>
              </w:rPr>
            </w:pPr>
            <w:r>
              <w:rPr>
                <w:rFonts w:ascii="黑体" w:hAnsi="黑体" w:eastAsia="黑体" w:cs="黑体"/>
                <w:spacing w:val="7"/>
                <w:sz w:val="20"/>
                <w:szCs w:val="20"/>
              </w:rPr>
              <w:t>核查记录</w:t>
            </w:r>
          </w:p>
        </w:tc>
        <w:tc>
          <w:tcPr>
            <w:tcW w:w="1804" w:type="dxa"/>
            <w:vAlign w:val="top"/>
          </w:tcPr>
          <w:p>
            <w:pPr>
              <w:spacing w:before="236" w:line="231" w:lineRule="auto"/>
              <w:ind w:left="486"/>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573" w:type="dxa"/>
            <w:vMerge w:val="restart"/>
            <w:tcBorders>
              <w:bottom w:val="nil"/>
            </w:tcBorders>
            <w:vAlign w:val="top"/>
          </w:tcPr>
          <w:p>
            <w:pPr>
              <w:rPr>
                <w:rFonts w:ascii="Arial"/>
                <w:sz w:val="21"/>
              </w:rPr>
            </w:pPr>
          </w:p>
        </w:tc>
        <w:tc>
          <w:tcPr>
            <w:tcW w:w="681" w:type="dxa"/>
            <w:vMerge w:val="restart"/>
            <w:tcBorders>
              <w:bottom w:val="nil"/>
            </w:tcBorders>
            <w:vAlign w:val="top"/>
          </w:tcPr>
          <w:p>
            <w:pPr>
              <w:rPr>
                <w:rFonts w:ascii="Arial"/>
                <w:sz w:val="21"/>
              </w:rPr>
            </w:pPr>
          </w:p>
        </w:tc>
        <w:tc>
          <w:tcPr>
            <w:tcW w:w="5263" w:type="dxa"/>
            <w:vAlign w:val="top"/>
          </w:tcPr>
          <w:p>
            <w:pPr>
              <w:pStyle w:val="6"/>
              <w:spacing w:before="45" w:line="229" w:lineRule="auto"/>
              <w:ind w:left="118"/>
            </w:pPr>
            <w:r>
              <w:rPr>
                <w:spacing w:val="9"/>
              </w:rPr>
              <w:t>理，不得使用可能会给人体带来健康风险的生</w:t>
            </w:r>
            <w:r>
              <w:rPr>
                <w:spacing w:val="8"/>
              </w:rPr>
              <w:t>产工艺。</w:t>
            </w:r>
          </w:p>
        </w:tc>
        <w:tc>
          <w:tcPr>
            <w:tcW w:w="4693" w:type="dxa"/>
            <w:vAlign w:val="top"/>
          </w:tcPr>
          <w:p>
            <w:pPr>
              <w:pStyle w:val="6"/>
              <w:spacing w:before="45" w:line="249" w:lineRule="auto"/>
              <w:ind w:left="123" w:right="104" w:hanging="3"/>
            </w:pPr>
            <w:r>
              <w:rPr>
                <w:spacing w:val="12"/>
              </w:rPr>
              <w:t>程管理，使用可能会给人体带来健康风险的生产</w:t>
            </w:r>
            <w:r>
              <w:rPr>
                <w:spacing w:val="10"/>
              </w:rPr>
              <w:t xml:space="preserve"> </w:t>
            </w:r>
            <w:r>
              <w:rPr>
                <w:spacing w:val="-1"/>
              </w:rPr>
              <w:t>工艺。</w:t>
            </w:r>
          </w:p>
          <w:p>
            <w:pPr>
              <w:pStyle w:val="6"/>
              <w:spacing w:before="18" w:line="235" w:lineRule="auto"/>
              <w:ind w:left="120" w:right="104" w:hanging="11"/>
            </w:pPr>
            <w:r>
              <w:rPr>
                <w:rFonts w:ascii="Times New Roman" w:hAnsi="Times New Roman" w:eastAsia="Times New Roman" w:cs="Times New Roman"/>
                <w:spacing w:val="5"/>
              </w:rPr>
              <w:t>2.</w:t>
            </w:r>
            <w:r>
              <w:rPr>
                <w:spacing w:val="5"/>
              </w:rPr>
              <w:t>工艺流程存在交叉污染，或者不符合产品执行标</w:t>
            </w:r>
            <w:r>
              <w:rPr>
                <w:spacing w:val="8"/>
              </w:rPr>
              <w:t xml:space="preserve"> </w:t>
            </w:r>
            <w:r>
              <w:rPr>
                <w:spacing w:val="4"/>
              </w:rPr>
              <w:t>准的规定。</w:t>
            </w:r>
          </w:p>
        </w:tc>
        <w:tc>
          <w:tcPr>
            <w:tcW w:w="570" w:type="dxa"/>
            <w:vAlign w:val="top"/>
          </w:tcPr>
          <w:p>
            <w:pPr>
              <w:rPr>
                <w:rFonts w:ascii="Arial"/>
                <w:sz w:val="21"/>
              </w:rPr>
            </w:pP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continue"/>
            <w:tcBorders>
              <w:top w:val="nil"/>
              <w:bottom w:val="nil"/>
            </w:tcBorders>
            <w:vAlign w:val="top"/>
          </w:tcPr>
          <w:p>
            <w:pPr>
              <w:rPr>
                <w:rFonts w:ascii="Arial"/>
                <w:sz w:val="21"/>
              </w:rPr>
            </w:pPr>
          </w:p>
        </w:tc>
        <w:tc>
          <w:tcPr>
            <w:tcW w:w="681" w:type="dxa"/>
            <w:vMerge w:val="continue"/>
            <w:tcBorders>
              <w:top w:val="nil"/>
              <w:bottom w:val="nil"/>
            </w:tcBorders>
            <w:vAlign w:val="top"/>
          </w:tcPr>
          <w:p>
            <w:pPr>
              <w:rPr>
                <w:rFonts w:ascii="Arial"/>
                <w:sz w:val="21"/>
              </w:rPr>
            </w:pPr>
          </w:p>
        </w:tc>
        <w:tc>
          <w:tcPr>
            <w:tcW w:w="5263" w:type="dxa"/>
            <w:vMerge w:val="restart"/>
            <w:tcBorders>
              <w:bottom w:val="nil"/>
            </w:tcBorders>
            <w:vAlign w:val="top"/>
          </w:tcPr>
          <w:p>
            <w:pPr>
              <w:pStyle w:val="6"/>
              <w:spacing w:before="253" w:line="285" w:lineRule="auto"/>
              <w:ind w:left="117" w:right="105" w:hanging="10"/>
            </w:pPr>
            <w:r>
              <w:rPr>
                <w:rFonts w:ascii="Times New Roman" w:hAnsi="Times New Roman" w:eastAsia="Times New Roman" w:cs="Times New Roman"/>
                <w:spacing w:val="12"/>
              </w:rPr>
              <w:t>2.</w:t>
            </w:r>
            <w:r>
              <w:rPr>
                <w:spacing w:val="12"/>
              </w:rPr>
              <w:t>应当制定所需的产品配方、工艺规程等</w:t>
            </w:r>
            <w:r>
              <w:rPr>
                <w:spacing w:val="11"/>
              </w:rPr>
              <w:t>工艺文件，明</w:t>
            </w:r>
            <w:r>
              <w:t xml:space="preserve"> </w:t>
            </w:r>
            <w:r>
              <w:rPr>
                <w:spacing w:val="8"/>
              </w:rPr>
              <w:t>确生产过程中的食品安全关键环节和控制措施。</w:t>
            </w:r>
          </w:p>
        </w:tc>
        <w:tc>
          <w:tcPr>
            <w:tcW w:w="4693" w:type="dxa"/>
            <w:vAlign w:val="top"/>
          </w:tcPr>
          <w:p>
            <w:pPr>
              <w:pStyle w:val="6"/>
              <w:spacing w:before="67" w:line="229" w:lineRule="auto"/>
              <w:ind w:left="124"/>
            </w:pPr>
            <w:r>
              <w:rPr>
                <w:spacing w:val="5"/>
              </w:rPr>
              <w:t>符合规定要求。</w:t>
            </w:r>
          </w:p>
        </w:tc>
        <w:tc>
          <w:tcPr>
            <w:tcW w:w="570" w:type="dxa"/>
            <w:vAlign w:val="top"/>
          </w:tcPr>
          <w:p>
            <w:pPr>
              <w:spacing w:before="112"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3" w:type="dxa"/>
            <w:vMerge w:val="continue"/>
            <w:tcBorders>
              <w:top w:val="nil"/>
              <w:bottom w:val="nil"/>
            </w:tcBorders>
            <w:vAlign w:val="top"/>
          </w:tcPr>
          <w:p>
            <w:pPr>
              <w:rPr>
                <w:rFonts w:ascii="Arial"/>
                <w:sz w:val="21"/>
              </w:rPr>
            </w:pPr>
          </w:p>
        </w:tc>
        <w:tc>
          <w:tcPr>
            <w:tcW w:w="681" w:type="dxa"/>
            <w:vMerge w:val="continue"/>
            <w:tcBorders>
              <w:top w:val="nil"/>
              <w:bottom w:val="nil"/>
            </w:tcBorders>
            <w:vAlign w:val="top"/>
          </w:tcPr>
          <w:p>
            <w:pPr>
              <w:rPr>
                <w:rFonts w:ascii="Arial"/>
                <w:sz w:val="21"/>
              </w:rPr>
            </w:pPr>
          </w:p>
        </w:tc>
        <w:tc>
          <w:tcPr>
            <w:tcW w:w="5263" w:type="dxa"/>
            <w:vMerge w:val="continue"/>
            <w:tcBorders>
              <w:top w:val="nil"/>
              <w:bottom w:val="nil"/>
            </w:tcBorders>
            <w:vAlign w:val="top"/>
          </w:tcPr>
          <w:p>
            <w:pPr>
              <w:rPr>
                <w:rFonts w:ascii="Arial"/>
                <w:sz w:val="21"/>
              </w:rPr>
            </w:pPr>
          </w:p>
        </w:tc>
        <w:tc>
          <w:tcPr>
            <w:tcW w:w="4693" w:type="dxa"/>
            <w:vAlign w:val="top"/>
          </w:tcPr>
          <w:p>
            <w:pPr>
              <w:pStyle w:val="6"/>
              <w:spacing w:before="68" w:line="231" w:lineRule="auto"/>
              <w:ind w:left="124"/>
            </w:pPr>
            <w:r>
              <w:rPr>
                <w:spacing w:val="6"/>
              </w:rPr>
              <w:t>工艺文件略有不足。</w:t>
            </w:r>
          </w:p>
        </w:tc>
        <w:tc>
          <w:tcPr>
            <w:tcW w:w="570" w:type="dxa"/>
            <w:vAlign w:val="top"/>
          </w:tcPr>
          <w:p>
            <w:pPr>
              <w:spacing w:before="114"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73" w:type="dxa"/>
            <w:vMerge w:val="continue"/>
            <w:tcBorders>
              <w:top w:val="nil"/>
            </w:tcBorders>
            <w:vAlign w:val="top"/>
          </w:tcPr>
          <w:p>
            <w:pPr>
              <w:rPr>
                <w:rFonts w:ascii="Arial"/>
                <w:sz w:val="21"/>
              </w:rPr>
            </w:pPr>
          </w:p>
        </w:tc>
        <w:tc>
          <w:tcPr>
            <w:tcW w:w="681" w:type="dxa"/>
            <w:vMerge w:val="continue"/>
            <w:tcBorders>
              <w:top w:val="nil"/>
            </w:tcBorders>
            <w:vAlign w:val="top"/>
          </w:tcPr>
          <w:p>
            <w:pPr>
              <w:rPr>
                <w:rFonts w:ascii="Arial"/>
                <w:sz w:val="21"/>
              </w:rPr>
            </w:pPr>
          </w:p>
        </w:tc>
        <w:tc>
          <w:tcPr>
            <w:tcW w:w="5263" w:type="dxa"/>
            <w:vMerge w:val="continue"/>
            <w:tcBorders>
              <w:top w:val="nil"/>
            </w:tcBorders>
            <w:vAlign w:val="top"/>
          </w:tcPr>
          <w:p>
            <w:pPr>
              <w:rPr>
                <w:rFonts w:ascii="Arial"/>
                <w:sz w:val="21"/>
              </w:rPr>
            </w:pPr>
          </w:p>
        </w:tc>
        <w:tc>
          <w:tcPr>
            <w:tcW w:w="4693" w:type="dxa"/>
            <w:vAlign w:val="top"/>
          </w:tcPr>
          <w:p>
            <w:pPr>
              <w:pStyle w:val="6"/>
              <w:spacing w:before="69" w:line="229" w:lineRule="auto"/>
              <w:ind w:left="124"/>
            </w:pPr>
            <w:r>
              <w:rPr>
                <w:spacing w:val="8"/>
              </w:rPr>
              <w:t>工艺文件严重不足，或不具备操作性。</w:t>
            </w:r>
          </w:p>
        </w:tc>
        <w:tc>
          <w:tcPr>
            <w:tcW w:w="570" w:type="dxa"/>
            <w:vAlign w:val="top"/>
          </w:tcPr>
          <w:p>
            <w:pPr>
              <w:spacing w:before="115"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bl>
    <w:p>
      <w:pPr>
        <w:spacing w:line="270" w:lineRule="auto"/>
        <w:rPr>
          <w:rFonts w:ascii="Arial"/>
          <w:sz w:val="21"/>
        </w:rPr>
      </w:pPr>
    </w:p>
    <w:p>
      <w:pPr>
        <w:spacing w:before="100" w:line="226" w:lineRule="auto"/>
        <w:ind w:left="5972"/>
        <w:outlineLvl w:val="0"/>
        <w:rPr>
          <w:rFonts w:ascii="黑体" w:hAnsi="黑体" w:eastAsia="黑体" w:cs="黑体"/>
          <w:sz w:val="31"/>
          <w:szCs w:val="31"/>
        </w:rPr>
      </w:pPr>
      <w:r>
        <w:rPr>
          <w:rFonts w:ascii="黑体" w:hAnsi="黑体" w:eastAsia="黑体" w:cs="黑体"/>
          <w:spacing w:val="2"/>
          <w:sz w:val="31"/>
          <w:szCs w:val="31"/>
        </w:rPr>
        <w:t>四、人员管理（共</w:t>
      </w:r>
      <w:r>
        <w:rPr>
          <w:rFonts w:ascii="黑体" w:hAnsi="黑体" w:eastAsia="黑体" w:cs="黑体"/>
          <w:spacing w:val="-56"/>
          <w:sz w:val="31"/>
          <w:szCs w:val="31"/>
        </w:rPr>
        <w:t xml:space="preserve"> </w:t>
      </w:r>
      <w:r>
        <w:rPr>
          <w:rFonts w:ascii="Times New Roman" w:hAnsi="Times New Roman" w:eastAsia="Times New Roman" w:cs="Times New Roman"/>
          <w:spacing w:val="2"/>
          <w:sz w:val="31"/>
          <w:szCs w:val="31"/>
        </w:rPr>
        <w:t>9</w:t>
      </w:r>
      <w:r>
        <w:rPr>
          <w:rFonts w:ascii="Times New Roman" w:hAnsi="Times New Roman" w:eastAsia="Times New Roman" w:cs="Times New Roman"/>
          <w:spacing w:val="23"/>
          <w:sz w:val="31"/>
          <w:szCs w:val="31"/>
        </w:rPr>
        <w:t xml:space="preserve"> </w:t>
      </w:r>
      <w:r>
        <w:rPr>
          <w:rFonts w:ascii="黑体" w:hAnsi="黑体" w:eastAsia="黑体" w:cs="黑体"/>
          <w:spacing w:val="2"/>
          <w:sz w:val="31"/>
          <w:szCs w:val="31"/>
        </w:rPr>
        <w:t>分）</w:t>
      </w:r>
    </w:p>
    <w:p>
      <w:pPr>
        <w:spacing w:line="137" w:lineRule="exact"/>
      </w:pPr>
    </w:p>
    <w:tbl>
      <w:tblPr>
        <w:tblStyle w:val="5"/>
        <w:tblW w:w="14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690"/>
        <w:gridCol w:w="5278"/>
        <w:gridCol w:w="4663"/>
        <w:gridCol w:w="600"/>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64" w:type="dxa"/>
            <w:textDirection w:val="tbRlV"/>
            <w:vAlign w:val="top"/>
          </w:tcPr>
          <w:p>
            <w:pPr>
              <w:spacing w:before="176" w:line="216" w:lineRule="auto"/>
              <w:ind w:left="64"/>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1"/>
                <w:sz w:val="20"/>
                <w:szCs w:val="20"/>
              </w:rPr>
              <w:t xml:space="preserve"> </w:t>
            </w:r>
            <w:r>
              <w:rPr>
                <w:rFonts w:ascii="黑体" w:hAnsi="黑体" w:eastAsia="黑体" w:cs="黑体"/>
                <w:spacing w:val="12"/>
                <w:sz w:val="20"/>
                <w:szCs w:val="20"/>
              </w:rPr>
              <w:t>号</w:t>
            </w:r>
          </w:p>
        </w:tc>
        <w:tc>
          <w:tcPr>
            <w:tcW w:w="690" w:type="dxa"/>
            <w:vAlign w:val="top"/>
          </w:tcPr>
          <w:p>
            <w:pPr>
              <w:spacing w:before="63" w:line="271" w:lineRule="auto"/>
              <w:ind w:left="137" w:right="136"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78" w:type="dxa"/>
            <w:vAlign w:val="top"/>
          </w:tcPr>
          <w:p>
            <w:pPr>
              <w:spacing w:before="227" w:line="231" w:lineRule="auto"/>
              <w:ind w:left="2221"/>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7"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7"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04" w:type="dxa"/>
            <w:vAlign w:val="top"/>
          </w:tcPr>
          <w:p>
            <w:pPr>
              <w:spacing w:before="227" w:line="231" w:lineRule="auto"/>
              <w:ind w:left="486"/>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4"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8" w:line="195" w:lineRule="auto"/>
              <w:ind w:left="150"/>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1</w:t>
            </w:r>
          </w:p>
        </w:tc>
        <w:tc>
          <w:tcPr>
            <w:tcW w:w="69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86" w:lineRule="auto"/>
              <w:ind w:left="115" w:right="165" w:hanging="4"/>
            </w:pPr>
            <w:r>
              <w:rPr>
                <w:spacing w:val="3"/>
              </w:rPr>
              <w:t>人员</w:t>
            </w:r>
            <w:r>
              <w:t xml:space="preserve"> </w:t>
            </w:r>
            <w:r>
              <w:rPr>
                <w:spacing w:val="1"/>
              </w:rPr>
              <w:t>要求</w:t>
            </w:r>
          </w:p>
        </w:tc>
        <w:tc>
          <w:tcPr>
            <w:tcW w:w="5278" w:type="dxa"/>
            <w:vMerge w:val="restart"/>
            <w:tcBorders>
              <w:bottom w:val="nil"/>
            </w:tcBorders>
            <w:vAlign w:val="top"/>
          </w:tcPr>
          <w:p>
            <w:pPr>
              <w:pStyle w:val="6"/>
              <w:spacing w:before="46" w:line="242" w:lineRule="auto"/>
              <w:ind w:left="119" w:right="185" w:firstLine="7"/>
            </w:pPr>
            <w:r>
              <w:rPr>
                <w:rFonts w:ascii="Times New Roman" w:hAnsi="Times New Roman" w:eastAsia="Times New Roman" w:cs="Times New Roman"/>
                <w:spacing w:val="8"/>
              </w:rPr>
              <w:t>1.</w:t>
            </w:r>
            <w:r>
              <w:rPr>
                <w:spacing w:val="8"/>
              </w:rPr>
              <w:t>应当配备专职或兼职食品安全管理人员和食品安全专</w:t>
            </w:r>
            <w:r>
              <w:rPr>
                <w:spacing w:val="9"/>
              </w:rPr>
              <w:t xml:space="preserve"> </w:t>
            </w:r>
            <w:r>
              <w:rPr>
                <w:spacing w:val="5"/>
              </w:rPr>
              <w:t>业技术人员。</w:t>
            </w:r>
          </w:p>
          <w:p>
            <w:pPr>
              <w:pStyle w:val="6"/>
              <w:spacing w:before="35" w:line="254" w:lineRule="auto"/>
              <w:ind w:left="108" w:right="49" w:hanging="1"/>
              <w:jc w:val="both"/>
            </w:pPr>
            <w:r>
              <w:rPr>
                <w:rFonts w:ascii="Times New Roman" w:hAnsi="Times New Roman" w:eastAsia="Times New Roman" w:cs="Times New Roman"/>
                <w:spacing w:val="9"/>
              </w:rPr>
              <w:t>2.</w:t>
            </w:r>
            <w:r>
              <w:rPr>
                <w:spacing w:val="9"/>
              </w:rPr>
              <w:t>企业主要负责人、食品安全总监、食品安全员应当符</w:t>
            </w:r>
            <w:r>
              <w:rPr>
                <w:spacing w:val="2"/>
              </w:rPr>
              <w:t xml:space="preserve">  </w:t>
            </w:r>
            <w:r>
              <w:rPr>
                <w:spacing w:val="9"/>
              </w:rPr>
              <w:t>合《企业落实食品安全主体责任监督管理规定》。食品</w:t>
            </w:r>
            <w:r>
              <w:rPr>
                <w:spacing w:val="7"/>
              </w:rPr>
              <w:t xml:space="preserve">  </w:t>
            </w:r>
            <w:r>
              <w:rPr>
                <w:spacing w:val="9"/>
              </w:rPr>
              <w:t>安全管理人员应当掌握食品安全法律法规、食品添加剂</w:t>
            </w:r>
            <w:r>
              <w:rPr>
                <w:spacing w:val="7"/>
              </w:rPr>
              <w:t xml:space="preserve">  </w:t>
            </w:r>
            <w:r>
              <w:rPr>
                <w:spacing w:val="4"/>
              </w:rPr>
              <w:t>相关标准及生产加工专业知识，具备食品安全管理能力。</w:t>
            </w:r>
            <w:r>
              <w:rPr>
                <w:spacing w:val="13"/>
              </w:rPr>
              <w:t xml:space="preserve"> </w:t>
            </w:r>
            <w:r>
              <w:rPr>
                <w:rFonts w:ascii="Times New Roman" w:hAnsi="Times New Roman" w:eastAsia="Times New Roman" w:cs="Times New Roman"/>
                <w:spacing w:val="9"/>
              </w:rPr>
              <w:t>3.</w:t>
            </w:r>
            <w:r>
              <w:rPr>
                <w:spacing w:val="9"/>
              </w:rPr>
              <w:t>食品安全专业技术人员应当掌握食品用香精生产工艺</w:t>
            </w:r>
            <w:r>
              <w:rPr>
                <w:spacing w:val="1"/>
              </w:rPr>
              <w:t xml:space="preserve">  </w:t>
            </w:r>
            <w:r>
              <w:rPr>
                <w:spacing w:val="9"/>
              </w:rPr>
              <w:t>操作规程，能够熟练操作与岗位相关的设备设施。从事</w:t>
            </w:r>
            <w:r>
              <w:rPr>
                <w:spacing w:val="7"/>
              </w:rPr>
              <w:t xml:space="preserve">  </w:t>
            </w:r>
            <w:r>
              <w:rPr>
                <w:spacing w:val="9"/>
              </w:rPr>
              <w:t>配方研发的人员应掌握相关食品安全标准规定。</w:t>
            </w:r>
          </w:p>
          <w:p>
            <w:pPr>
              <w:pStyle w:val="6"/>
              <w:spacing w:before="33" w:line="241" w:lineRule="auto"/>
              <w:ind w:left="119" w:right="185" w:hanging="13"/>
            </w:pPr>
            <w:r>
              <w:rPr>
                <w:rFonts w:ascii="Times New Roman" w:hAnsi="Times New Roman" w:eastAsia="Times New Roman" w:cs="Times New Roman"/>
                <w:spacing w:val="9"/>
              </w:rPr>
              <w:t>4.</w:t>
            </w:r>
            <w:r>
              <w:rPr>
                <w:spacing w:val="9"/>
              </w:rPr>
              <w:t>检验人员应当具有食品、化学或相关专业知识，经专</w:t>
            </w:r>
            <w:r>
              <w:rPr>
                <w:spacing w:val="5"/>
              </w:rPr>
              <w:t xml:space="preserve"> </w:t>
            </w:r>
            <w:r>
              <w:rPr>
                <w:spacing w:val="8"/>
              </w:rPr>
              <w:t>业培训合格。检验人员数量应当满足企业检验需求。</w:t>
            </w:r>
          </w:p>
          <w:p>
            <w:pPr>
              <w:pStyle w:val="6"/>
              <w:spacing w:before="37" w:line="234" w:lineRule="auto"/>
              <w:ind w:left="110" w:right="132" w:firstLine="1"/>
            </w:pPr>
            <w:r>
              <w:rPr>
                <w:rFonts w:ascii="Times New Roman" w:hAnsi="Times New Roman" w:eastAsia="Times New Roman" w:cs="Times New Roman"/>
                <w:spacing w:val="9"/>
              </w:rPr>
              <w:t>5.</w:t>
            </w:r>
            <w:r>
              <w:rPr>
                <w:spacing w:val="9"/>
              </w:rPr>
              <w:t>操作人员应当掌握本职岗位的作业指导书、操作</w:t>
            </w:r>
            <w:r>
              <w:rPr>
                <w:spacing w:val="8"/>
              </w:rPr>
              <w:t>规程</w:t>
            </w:r>
            <w:r>
              <w:t xml:space="preserve"> </w:t>
            </w:r>
            <w:r>
              <w:rPr>
                <w:spacing w:val="9"/>
              </w:rPr>
              <w:t>或配方等工艺文件的相关要求，能够熟练操作本岗位设</w:t>
            </w:r>
          </w:p>
        </w:tc>
        <w:tc>
          <w:tcPr>
            <w:tcW w:w="4663" w:type="dxa"/>
            <w:vAlign w:val="top"/>
          </w:tcPr>
          <w:p>
            <w:pPr>
              <w:pStyle w:val="6"/>
              <w:spacing w:before="75" w:line="224" w:lineRule="auto"/>
              <w:ind w:left="118"/>
            </w:pPr>
            <w:r>
              <w:rPr>
                <w:spacing w:val="6"/>
              </w:rPr>
              <w:t>符合规定要求。</w:t>
            </w:r>
          </w:p>
        </w:tc>
        <w:tc>
          <w:tcPr>
            <w:tcW w:w="600" w:type="dxa"/>
            <w:vAlign w:val="top"/>
          </w:tcPr>
          <w:p>
            <w:pPr>
              <w:spacing w:before="101" w:line="195" w:lineRule="auto"/>
              <w:ind w:left="25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64" w:type="dxa"/>
            <w:vMerge w:val="continue"/>
            <w:tcBorders>
              <w:top w:val="nil"/>
              <w:bottom w:val="nil"/>
            </w:tcBorders>
            <w:vAlign w:val="top"/>
          </w:tcPr>
          <w:p>
            <w:pPr>
              <w:rPr>
                <w:rFonts w:ascii="Arial"/>
                <w:sz w:val="21"/>
              </w:rPr>
            </w:pPr>
          </w:p>
        </w:tc>
        <w:tc>
          <w:tcPr>
            <w:tcW w:w="690" w:type="dxa"/>
            <w:vMerge w:val="continue"/>
            <w:tcBorders>
              <w:top w:val="nil"/>
              <w:bottom w:val="nil"/>
            </w:tcBorders>
            <w:vAlign w:val="top"/>
          </w:tcPr>
          <w:p>
            <w:pPr>
              <w:rPr>
                <w:rFonts w:ascii="Arial"/>
                <w:sz w:val="21"/>
              </w:rPr>
            </w:pPr>
          </w:p>
        </w:tc>
        <w:tc>
          <w:tcPr>
            <w:tcW w:w="5278" w:type="dxa"/>
            <w:vMerge w:val="continue"/>
            <w:tcBorders>
              <w:top w:val="nil"/>
              <w:bottom w:val="nil"/>
            </w:tcBorders>
            <w:vAlign w:val="top"/>
          </w:tcPr>
          <w:p>
            <w:pPr>
              <w:rPr>
                <w:rFonts w:ascii="Arial"/>
                <w:sz w:val="21"/>
              </w:rPr>
            </w:pPr>
          </w:p>
        </w:tc>
        <w:tc>
          <w:tcPr>
            <w:tcW w:w="4663" w:type="dxa"/>
            <w:vAlign w:val="top"/>
          </w:tcPr>
          <w:p>
            <w:pPr>
              <w:pStyle w:val="6"/>
              <w:spacing w:before="46" w:line="226" w:lineRule="auto"/>
              <w:ind w:left="129"/>
            </w:pPr>
            <w:r>
              <w:rPr>
                <w:rFonts w:ascii="Times New Roman" w:hAnsi="Times New Roman" w:eastAsia="Times New Roman" w:cs="Times New Roman"/>
                <w:spacing w:val="6"/>
              </w:rPr>
              <w:t>1.</w:t>
            </w:r>
            <w:r>
              <w:rPr>
                <w:spacing w:val="6"/>
              </w:rPr>
              <w:t>个别人员职责不太明确。</w:t>
            </w:r>
          </w:p>
          <w:p>
            <w:pPr>
              <w:pStyle w:val="6"/>
              <w:spacing w:before="35" w:line="210" w:lineRule="auto"/>
              <w:ind w:left="109"/>
            </w:pPr>
            <w:r>
              <w:rPr>
                <w:rFonts w:ascii="Times New Roman" w:hAnsi="Times New Roman" w:eastAsia="Times New Roman" w:cs="Times New Roman"/>
                <w:spacing w:val="8"/>
              </w:rPr>
              <w:t>2.</w:t>
            </w:r>
            <w:r>
              <w:rPr>
                <w:spacing w:val="8"/>
              </w:rPr>
              <w:t>个别人员资质不符合规定要求。</w:t>
            </w:r>
          </w:p>
        </w:tc>
        <w:tc>
          <w:tcPr>
            <w:tcW w:w="600" w:type="dxa"/>
            <w:vAlign w:val="top"/>
          </w:tcPr>
          <w:p>
            <w:pPr>
              <w:spacing w:before="213"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5" w:hRule="atLeast"/>
        </w:trPr>
        <w:tc>
          <w:tcPr>
            <w:tcW w:w="564"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5278" w:type="dxa"/>
            <w:vMerge w:val="continue"/>
            <w:tcBorders>
              <w:top w:val="nil"/>
            </w:tcBorders>
            <w:vAlign w:val="top"/>
          </w:tcPr>
          <w:p>
            <w:pPr>
              <w:rPr>
                <w:rFonts w:ascii="Arial"/>
                <w:sz w:val="21"/>
              </w:rPr>
            </w:pPr>
          </w:p>
        </w:tc>
        <w:tc>
          <w:tcPr>
            <w:tcW w:w="4663" w:type="dxa"/>
            <w:vAlign w:val="top"/>
          </w:tcPr>
          <w:p>
            <w:pPr>
              <w:pStyle w:val="6"/>
              <w:spacing w:before="288" w:line="225" w:lineRule="auto"/>
              <w:ind w:left="129"/>
            </w:pPr>
            <w:r>
              <w:rPr>
                <w:rFonts w:ascii="Times New Roman" w:hAnsi="Times New Roman" w:eastAsia="Times New Roman" w:cs="Times New Roman"/>
                <w:spacing w:val="7"/>
              </w:rPr>
              <w:t>1.</w:t>
            </w:r>
            <w:r>
              <w:rPr>
                <w:spacing w:val="7"/>
              </w:rPr>
              <w:t>未设立独立的食品质量安全管理机构。</w:t>
            </w:r>
          </w:p>
          <w:p>
            <w:pPr>
              <w:pStyle w:val="6"/>
              <w:spacing w:before="37" w:line="242" w:lineRule="auto"/>
              <w:ind w:left="138" w:right="105" w:hanging="29"/>
            </w:pPr>
            <w:r>
              <w:rPr>
                <w:rFonts w:ascii="Times New Roman" w:hAnsi="Times New Roman" w:eastAsia="Times New Roman" w:cs="Times New Roman"/>
                <w:spacing w:val="13"/>
              </w:rPr>
              <w:t>2.</w:t>
            </w:r>
            <w:r>
              <w:rPr>
                <w:spacing w:val="13"/>
              </w:rPr>
              <w:t>未配备专职的食品安全总监、食品安全员等食</w:t>
            </w:r>
            <w:r>
              <w:rPr>
                <w:spacing w:val="5"/>
              </w:rPr>
              <w:t xml:space="preserve"> </w:t>
            </w:r>
            <w:r>
              <w:rPr>
                <w:spacing w:val="4"/>
              </w:rPr>
              <w:t>品安全管理人员。</w:t>
            </w:r>
          </w:p>
          <w:p>
            <w:pPr>
              <w:pStyle w:val="6"/>
              <w:spacing w:before="33" w:line="248" w:lineRule="auto"/>
              <w:ind w:left="114" w:right="105" w:hanging="1"/>
              <w:jc w:val="both"/>
            </w:pPr>
            <w:r>
              <w:rPr>
                <w:rFonts w:ascii="Times New Roman" w:hAnsi="Times New Roman" w:eastAsia="Times New Roman" w:cs="Times New Roman"/>
                <w:spacing w:val="13"/>
              </w:rPr>
              <w:t>3.</w:t>
            </w:r>
            <w:r>
              <w:rPr>
                <w:spacing w:val="13"/>
              </w:rPr>
              <w:t>未配备具有相应专业能力的食品安全专业技术</w:t>
            </w:r>
            <w:r>
              <w:rPr>
                <w:spacing w:val="1"/>
              </w:rPr>
              <w:t xml:space="preserve"> </w:t>
            </w:r>
            <w:r>
              <w:rPr>
                <w:spacing w:val="11"/>
              </w:rPr>
              <w:t>人员。从事研发的人员不能正确理解和执行食品</w:t>
            </w:r>
            <w:r>
              <w:rPr>
                <w:spacing w:val="5"/>
              </w:rPr>
              <w:t xml:space="preserve"> </w:t>
            </w:r>
            <w:r>
              <w:rPr>
                <w:spacing w:val="6"/>
              </w:rPr>
              <w:t>安全国家标准。</w:t>
            </w:r>
          </w:p>
          <w:p>
            <w:pPr>
              <w:pStyle w:val="6"/>
              <w:spacing w:before="34" w:line="244" w:lineRule="auto"/>
              <w:ind w:left="119" w:right="105" w:hanging="11"/>
            </w:pPr>
            <w:r>
              <w:rPr>
                <w:rFonts w:ascii="Times New Roman" w:hAnsi="Times New Roman" w:eastAsia="Times New Roman" w:cs="Times New Roman"/>
                <w:spacing w:val="13"/>
              </w:rPr>
              <w:t>4.</w:t>
            </w:r>
            <w:r>
              <w:rPr>
                <w:spacing w:val="13"/>
              </w:rPr>
              <w:t>相关人员数量配备不足，人员资质不符合规定</w:t>
            </w:r>
            <w:r>
              <w:rPr>
                <w:spacing w:val="6"/>
              </w:rPr>
              <w:t xml:space="preserve"> </w:t>
            </w:r>
            <w:r>
              <w:rPr>
                <w:spacing w:val="1"/>
              </w:rPr>
              <w:t>要求。</w:t>
            </w:r>
          </w:p>
        </w:tc>
        <w:tc>
          <w:tcPr>
            <w:tcW w:w="60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57" w:line="195" w:lineRule="auto"/>
              <w:ind w:left="25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8" w:type="default"/>
          <w:pgSz w:w="16839" w:h="11906"/>
          <w:pgMar w:top="1012" w:right="801" w:bottom="1166" w:left="1038" w:header="0" w:footer="994" w:gutter="0"/>
          <w:cols w:space="720" w:num="1"/>
        </w:sectPr>
      </w:pPr>
    </w:p>
    <w:p>
      <w:pPr>
        <w:spacing w:before="21"/>
      </w:pPr>
    </w:p>
    <w:p>
      <w:pPr>
        <w:spacing w:before="21"/>
      </w:pPr>
    </w:p>
    <w:p>
      <w:pPr>
        <w:spacing w:before="21"/>
      </w:pPr>
    </w:p>
    <w:tbl>
      <w:tblPr>
        <w:tblStyle w:val="5"/>
        <w:tblW w:w="14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690"/>
        <w:gridCol w:w="5278"/>
        <w:gridCol w:w="4663"/>
        <w:gridCol w:w="600"/>
        <w:gridCol w:w="1394"/>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64" w:type="dxa"/>
            <w:textDirection w:val="tbRlV"/>
            <w:vAlign w:val="top"/>
          </w:tcPr>
          <w:p>
            <w:pPr>
              <w:spacing w:before="176"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90" w:type="dxa"/>
            <w:vAlign w:val="top"/>
          </w:tcPr>
          <w:p>
            <w:pPr>
              <w:spacing w:before="63" w:line="271" w:lineRule="auto"/>
              <w:ind w:left="137" w:right="136"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78" w:type="dxa"/>
            <w:vAlign w:val="top"/>
          </w:tcPr>
          <w:p>
            <w:pPr>
              <w:spacing w:before="226" w:line="231" w:lineRule="auto"/>
              <w:ind w:left="2221"/>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6"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04" w:type="dxa"/>
            <w:vAlign w:val="top"/>
          </w:tcPr>
          <w:p>
            <w:pPr>
              <w:spacing w:before="227" w:line="231" w:lineRule="auto"/>
              <w:ind w:left="486"/>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564" w:type="dxa"/>
            <w:vAlign w:val="top"/>
          </w:tcPr>
          <w:p>
            <w:pPr>
              <w:rPr>
                <w:rFonts w:ascii="Arial"/>
                <w:sz w:val="21"/>
              </w:rPr>
            </w:pPr>
          </w:p>
        </w:tc>
        <w:tc>
          <w:tcPr>
            <w:tcW w:w="690" w:type="dxa"/>
            <w:vAlign w:val="top"/>
          </w:tcPr>
          <w:p>
            <w:pPr>
              <w:rPr>
                <w:rFonts w:ascii="Arial"/>
                <w:sz w:val="21"/>
              </w:rPr>
            </w:pPr>
          </w:p>
        </w:tc>
        <w:tc>
          <w:tcPr>
            <w:tcW w:w="5278" w:type="dxa"/>
            <w:vAlign w:val="top"/>
          </w:tcPr>
          <w:p>
            <w:pPr>
              <w:pStyle w:val="6"/>
              <w:spacing w:before="46" w:line="228" w:lineRule="auto"/>
              <w:ind w:left="113"/>
            </w:pPr>
            <w:r>
              <w:rPr>
                <w:spacing w:val="-1"/>
              </w:rPr>
              <w:t>备。</w:t>
            </w:r>
          </w:p>
          <w:p>
            <w:pPr>
              <w:pStyle w:val="6"/>
              <w:spacing w:before="33" w:line="241" w:lineRule="auto"/>
              <w:ind w:left="123" w:right="185" w:hanging="12"/>
            </w:pPr>
            <w:r>
              <w:rPr>
                <w:rFonts w:ascii="Times New Roman" w:hAnsi="Times New Roman" w:eastAsia="Times New Roman" w:cs="Times New Roman"/>
                <w:spacing w:val="9"/>
              </w:rPr>
              <w:t>6.</w:t>
            </w:r>
            <w:r>
              <w:rPr>
                <w:spacing w:val="9"/>
              </w:rPr>
              <w:t>菌种保存及扩大培养相关操作的岗位人员应当进行微</w:t>
            </w:r>
            <w:r>
              <w:t xml:space="preserve"> </w:t>
            </w:r>
            <w:r>
              <w:rPr>
                <w:spacing w:val="8"/>
              </w:rPr>
              <w:t>生物和菌种相关知识培训，并具有相应技能。</w:t>
            </w:r>
          </w:p>
          <w:p>
            <w:pPr>
              <w:pStyle w:val="6"/>
              <w:spacing w:before="38" w:line="247" w:lineRule="auto"/>
              <w:ind w:left="110" w:right="132"/>
              <w:jc w:val="both"/>
            </w:pPr>
            <w:r>
              <w:rPr>
                <w:rFonts w:ascii="Times New Roman" w:hAnsi="Times New Roman" w:eastAsia="Times New Roman" w:cs="Times New Roman"/>
                <w:spacing w:val="9"/>
              </w:rPr>
              <w:t>7.</w:t>
            </w:r>
            <w:r>
              <w:rPr>
                <w:spacing w:val="9"/>
              </w:rPr>
              <w:t>负责清洁消毒的人员应当接受良好培训，能够正确使</w:t>
            </w:r>
            <w:r>
              <w:rPr>
                <w:spacing w:val="1"/>
              </w:rPr>
              <w:t xml:space="preserve"> </w:t>
            </w:r>
            <w:r>
              <w:rPr>
                <w:spacing w:val="9"/>
              </w:rPr>
              <w:t>用清洁消毒工器具及相关洗涤剂、消毒剂，保证清洁和</w:t>
            </w:r>
            <w:r>
              <w:rPr>
                <w:spacing w:val="12"/>
              </w:rPr>
              <w:t xml:space="preserve"> </w:t>
            </w:r>
            <w:r>
              <w:rPr>
                <w:spacing w:val="8"/>
              </w:rPr>
              <w:t>消毒作业的效果满足生产要求。</w:t>
            </w:r>
          </w:p>
          <w:p>
            <w:pPr>
              <w:pStyle w:val="6"/>
              <w:spacing w:before="36" w:line="234" w:lineRule="auto"/>
              <w:ind w:left="122" w:right="185" w:hanging="7"/>
            </w:pPr>
            <w:r>
              <w:rPr>
                <w:rFonts w:ascii="Times New Roman" w:hAnsi="Times New Roman" w:eastAsia="Times New Roman" w:cs="Times New Roman"/>
                <w:spacing w:val="8"/>
              </w:rPr>
              <w:t>8.</w:t>
            </w:r>
            <w:r>
              <w:rPr>
                <w:rFonts w:ascii="Times New Roman" w:hAnsi="Times New Roman" w:eastAsia="Times New Roman" w:cs="Times New Roman"/>
                <w:spacing w:val="-29"/>
              </w:rPr>
              <w:t xml:space="preserve"> </w:t>
            </w:r>
            <w:r>
              <w:rPr>
                <w:spacing w:val="8"/>
              </w:rPr>
              <w:t>涉及危险化学品相关操作的岗位人员应当经过危险化</w:t>
            </w:r>
            <w:r>
              <w:t xml:space="preserve"> </w:t>
            </w:r>
            <w:r>
              <w:rPr>
                <w:spacing w:val="5"/>
              </w:rPr>
              <w:t>学品知识培训。</w:t>
            </w:r>
          </w:p>
        </w:tc>
        <w:tc>
          <w:tcPr>
            <w:tcW w:w="4663" w:type="dxa"/>
            <w:vAlign w:val="top"/>
          </w:tcPr>
          <w:p>
            <w:pPr>
              <w:rPr>
                <w:rFonts w:ascii="Arial"/>
                <w:sz w:val="21"/>
              </w:rPr>
            </w:pPr>
          </w:p>
        </w:tc>
        <w:tc>
          <w:tcPr>
            <w:tcW w:w="600" w:type="dxa"/>
            <w:vAlign w:val="top"/>
          </w:tcPr>
          <w:p>
            <w:pPr>
              <w:rPr>
                <w:rFonts w:ascii="Arial"/>
                <w:sz w:val="21"/>
              </w:rPr>
            </w:pP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64"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before="58"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4.2</w:t>
            </w:r>
          </w:p>
        </w:tc>
        <w:tc>
          <w:tcPr>
            <w:tcW w:w="690" w:type="dxa"/>
            <w:vMerge w:val="restart"/>
            <w:tcBorders>
              <w:bottom w:val="nil"/>
            </w:tcBorders>
            <w:vAlign w:val="top"/>
          </w:tcPr>
          <w:p>
            <w:pPr>
              <w:spacing w:line="345" w:lineRule="auto"/>
              <w:rPr>
                <w:rFonts w:ascii="Arial"/>
                <w:sz w:val="21"/>
              </w:rPr>
            </w:pPr>
          </w:p>
          <w:p>
            <w:pPr>
              <w:pStyle w:val="6"/>
              <w:spacing w:before="65" w:line="286" w:lineRule="auto"/>
              <w:ind w:left="111" w:right="165"/>
            </w:pPr>
            <w:r>
              <w:rPr>
                <w:spacing w:val="3"/>
              </w:rPr>
              <w:t>人员</w:t>
            </w:r>
            <w:r>
              <w:t xml:space="preserve"> </w:t>
            </w:r>
            <w:r>
              <w:rPr>
                <w:spacing w:val="3"/>
              </w:rPr>
              <w:t>培训</w:t>
            </w:r>
          </w:p>
        </w:tc>
        <w:tc>
          <w:tcPr>
            <w:tcW w:w="5278" w:type="dxa"/>
            <w:vMerge w:val="restart"/>
            <w:tcBorders>
              <w:bottom w:val="nil"/>
            </w:tcBorders>
            <w:vAlign w:val="top"/>
          </w:tcPr>
          <w:p>
            <w:pPr>
              <w:pStyle w:val="6"/>
              <w:spacing w:before="247" w:line="290" w:lineRule="auto"/>
              <w:ind w:left="118" w:right="108" w:hanging="2"/>
              <w:jc w:val="both"/>
            </w:pPr>
            <w:r>
              <w:rPr>
                <w:spacing w:val="10"/>
              </w:rPr>
              <w:t>应当制定和实施职工培训计划，根据岗位需求开展食品</w:t>
            </w:r>
            <w:r>
              <w:rPr>
                <w:spacing w:val="6"/>
              </w:rPr>
              <w:t xml:space="preserve"> </w:t>
            </w:r>
            <w:r>
              <w:rPr>
                <w:spacing w:val="10"/>
              </w:rPr>
              <w:t>安全知识及卫生培训，做好培训记录。食品安全管理人</w:t>
            </w:r>
            <w:r>
              <w:rPr>
                <w:spacing w:val="4"/>
              </w:rPr>
              <w:t xml:space="preserve"> </w:t>
            </w:r>
            <w:r>
              <w:rPr>
                <w:spacing w:val="8"/>
              </w:rPr>
              <w:t>员上岗前应当经过培训，并考核合格。</w:t>
            </w:r>
          </w:p>
        </w:tc>
        <w:tc>
          <w:tcPr>
            <w:tcW w:w="4663" w:type="dxa"/>
            <w:vAlign w:val="top"/>
          </w:tcPr>
          <w:p>
            <w:pPr>
              <w:pStyle w:val="6"/>
              <w:spacing w:before="68" w:line="229" w:lineRule="auto"/>
              <w:ind w:left="123"/>
            </w:pPr>
            <w:r>
              <w:rPr>
                <w:spacing w:val="5"/>
              </w:rPr>
              <w:t>符合规定要求。</w:t>
            </w:r>
          </w:p>
        </w:tc>
        <w:tc>
          <w:tcPr>
            <w:tcW w:w="600" w:type="dxa"/>
            <w:vAlign w:val="top"/>
          </w:tcPr>
          <w:p>
            <w:pPr>
              <w:spacing w:before="113" w:line="195" w:lineRule="auto"/>
              <w:ind w:left="25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64" w:type="dxa"/>
            <w:vMerge w:val="continue"/>
            <w:tcBorders>
              <w:top w:val="nil"/>
              <w:bottom w:val="nil"/>
            </w:tcBorders>
            <w:vAlign w:val="top"/>
          </w:tcPr>
          <w:p>
            <w:pPr>
              <w:rPr>
                <w:rFonts w:ascii="Arial"/>
                <w:sz w:val="21"/>
              </w:rPr>
            </w:pPr>
          </w:p>
        </w:tc>
        <w:tc>
          <w:tcPr>
            <w:tcW w:w="690" w:type="dxa"/>
            <w:vMerge w:val="continue"/>
            <w:tcBorders>
              <w:top w:val="nil"/>
              <w:bottom w:val="nil"/>
            </w:tcBorders>
            <w:vAlign w:val="top"/>
          </w:tcPr>
          <w:p>
            <w:pPr>
              <w:rPr>
                <w:rFonts w:ascii="Arial"/>
                <w:sz w:val="21"/>
              </w:rPr>
            </w:pPr>
          </w:p>
        </w:tc>
        <w:tc>
          <w:tcPr>
            <w:tcW w:w="5278" w:type="dxa"/>
            <w:vMerge w:val="continue"/>
            <w:tcBorders>
              <w:top w:val="nil"/>
              <w:bottom w:val="nil"/>
            </w:tcBorders>
            <w:vAlign w:val="top"/>
          </w:tcPr>
          <w:p>
            <w:pPr>
              <w:rPr>
                <w:rFonts w:ascii="Arial"/>
                <w:sz w:val="21"/>
              </w:rPr>
            </w:pPr>
          </w:p>
        </w:tc>
        <w:tc>
          <w:tcPr>
            <w:tcW w:w="4663" w:type="dxa"/>
            <w:vAlign w:val="top"/>
          </w:tcPr>
          <w:p>
            <w:pPr>
              <w:pStyle w:val="6"/>
              <w:spacing w:before="69" w:line="231" w:lineRule="auto"/>
              <w:ind w:left="119"/>
            </w:pPr>
            <w:r>
              <w:rPr>
                <w:spacing w:val="8"/>
              </w:rPr>
              <w:t>培训计划及计划实施、培训记录略有不足。</w:t>
            </w:r>
          </w:p>
        </w:tc>
        <w:tc>
          <w:tcPr>
            <w:tcW w:w="600" w:type="dxa"/>
            <w:vAlign w:val="top"/>
          </w:tcPr>
          <w:p>
            <w:pPr>
              <w:spacing w:before="115"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564"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5278" w:type="dxa"/>
            <w:vMerge w:val="continue"/>
            <w:tcBorders>
              <w:top w:val="nil"/>
            </w:tcBorders>
            <w:vAlign w:val="top"/>
          </w:tcPr>
          <w:p>
            <w:pPr>
              <w:rPr>
                <w:rFonts w:ascii="Arial"/>
                <w:sz w:val="21"/>
              </w:rPr>
            </w:pPr>
          </w:p>
        </w:tc>
        <w:tc>
          <w:tcPr>
            <w:tcW w:w="4663" w:type="dxa"/>
            <w:vAlign w:val="top"/>
          </w:tcPr>
          <w:p>
            <w:pPr>
              <w:pStyle w:val="6"/>
              <w:spacing w:before="63" w:line="269" w:lineRule="auto"/>
              <w:ind w:left="126" w:right="106" w:hanging="5"/>
            </w:pPr>
            <w:r>
              <w:rPr>
                <w:spacing w:val="11"/>
              </w:rPr>
              <w:t>无培训计划，或计划实施严重不足，或无培</w:t>
            </w:r>
            <w:r>
              <w:rPr>
                <w:spacing w:val="10"/>
              </w:rPr>
              <w:t>训记</w:t>
            </w:r>
            <w:r>
              <w:t xml:space="preserve"> </w:t>
            </w:r>
            <w:r>
              <w:rPr>
                <w:spacing w:val="-7"/>
              </w:rPr>
              <w:t>录。</w:t>
            </w:r>
          </w:p>
        </w:tc>
        <w:tc>
          <w:tcPr>
            <w:tcW w:w="600" w:type="dxa"/>
            <w:vAlign w:val="top"/>
          </w:tcPr>
          <w:p>
            <w:pPr>
              <w:spacing w:before="271" w:line="195" w:lineRule="auto"/>
              <w:ind w:left="25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64"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before="57"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4.3</w:t>
            </w:r>
          </w:p>
        </w:tc>
        <w:tc>
          <w:tcPr>
            <w:tcW w:w="690" w:type="dxa"/>
            <w:vMerge w:val="restart"/>
            <w:tcBorders>
              <w:bottom w:val="nil"/>
            </w:tcBorders>
            <w:vAlign w:val="top"/>
          </w:tcPr>
          <w:p>
            <w:pPr>
              <w:pStyle w:val="6"/>
              <w:spacing w:before="63" w:line="286" w:lineRule="auto"/>
              <w:ind w:left="106" w:right="165" w:firstLine="5"/>
              <w:jc w:val="both"/>
            </w:pPr>
            <w:r>
              <w:rPr>
                <w:spacing w:val="3"/>
              </w:rPr>
              <w:t>人员</w:t>
            </w:r>
            <w:r>
              <w:t xml:space="preserve"> </w:t>
            </w:r>
            <w:r>
              <w:rPr>
                <w:spacing w:val="6"/>
              </w:rPr>
              <w:t>健康</w:t>
            </w:r>
            <w:r>
              <w:t xml:space="preserve"> </w:t>
            </w:r>
            <w:r>
              <w:rPr>
                <w:spacing w:val="6"/>
              </w:rPr>
              <w:t>管理</w:t>
            </w:r>
            <w:r>
              <w:t xml:space="preserve"> </w:t>
            </w:r>
            <w:r>
              <w:rPr>
                <w:spacing w:val="6"/>
              </w:rPr>
              <w:t>制度</w:t>
            </w:r>
          </w:p>
        </w:tc>
        <w:tc>
          <w:tcPr>
            <w:tcW w:w="5278" w:type="dxa"/>
            <w:vMerge w:val="restart"/>
            <w:tcBorders>
              <w:bottom w:val="nil"/>
            </w:tcBorders>
            <w:vAlign w:val="top"/>
          </w:tcPr>
          <w:p>
            <w:pPr>
              <w:spacing w:line="241" w:lineRule="auto"/>
              <w:rPr>
                <w:rFonts w:ascii="Arial"/>
                <w:sz w:val="21"/>
              </w:rPr>
            </w:pPr>
          </w:p>
          <w:p>
            <w:pPr>
              <w:spacing w:line="241" w:lineRule="auto"/>
              <w:rPr>
                <w:rFonts w:ascii="Arial"/>
                <w:sz w:val="21"/>
              </w:rPr>
            </w:pPr>
          </w:p>
          <w:p>
            <w:pPr>
              <w:pStyle w:val="6"/>
              <w:spacing w:before="65" w:line="229" w:lineRule="auto"/>
              <w:ind w:left="116"/>
            </w:pPr>
            <w:r>
              <w:rPr>
                <w:spacing w:val="8"/>
              </w:rPr>
              <w:t>应当建立并执行从业人员健康管理制度。</w:t>
            </w:r>
          </w:p>
        </w:tc>
        <w:tc>
          <w:tcPr>
            <w:tcW w:w="4663" w:type="dxa"/>
            <w:vAlign w:val="top"/>
          </w:tcPr>
          <w:p>
            <w:pPr>
              <w:pStyle w:val="6"/>
              <w:spacing w:before="71" w:line="229" w:lineRule="auto"/>
              <w:ind w:left="123"/>
            </w:pPr>
            <w:r>
              <w:rPr>
                <w:spacing w:val="5"/>
              </w:rPr>
              <w:t>符合规定要求。</w:t>
            </w:r>
          </w:p>
        </w:tc>
        <w:tc>
          <w:tcPr>
            <w:tcW w:w="600" w:type="dxa"/>
            <w:vAlign w:val="top"/>
          </w:tcPr>
          <w:p>
            <w:pPr>
              <w:spacing w:before="114" w:line="195" w:lineRule="auto"/>
              <w:ind w:left="25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64" w:type="dxa"/>
            <w:vMerge w:val="continue"/>
            <w:tcBorders>
              <w:top w:val="nil"/>
              <w:bottom w:val="nil"/>
            </w:tcBorders>
            <w:vAlign w:val="top"/>
          </w:tcPr>
          <w:p>
            <w:pPr>
              <w:rPr>
                <w:rFonts w:ascii="Arial"/>
                <w:sz w:val="21"/>
              </w:rPr>
            </w:pPr>
          </w:p>
        </w:tc>
        <w:tc>
          <w:tcPr>
            <w:tcW w:w="690" w:type="dxa"/>
            <w:vMerge w:val="continue"/>
            <w:tcBorders>
              <w:top w:val="nil"/>
              <w:bottom w:val="nil"/>
            </w:tcBorders>
            <w:vAlign w:val="top"/>
          </w:tcPr>
          <w:p>
            <w:pPr>
              <w:rPr>
                <w:rFonts w:ascii="Arial"/>
                <w:sz w:val="21"/>
              </w:rPr>
            </w:pPr>
          </w:p>
        </w:tc>
        <w:tc>
          <w:tcPr>
            <w:tcW w:w="5278" w:type="dxa"/>
            <w:vMerge w:val="continue"/>
            <w:tcBorders>
              <w:top w:val="nil"/>
              <w:bottom w:val="nil"/>
            </w:tcBorders>
            <w:vAlign w:val="top"/>
          </w:tcPr>
          <w:p>
            <w:pPr>
              <w:rPr>
                <w:rFonts w:ascii="Arial"/>
                <w:sz w:val="21"/>
              </w:rPr>
            </w:pPr>
          </w:p>
        </w:tc>
        <w:tc>
          <w:tcPr>
            <w:tcW w:w="4663" w:type="dxa"/>
            <w:vAlign w:val="top"/>
          </w:tcPr>
          <w:p>
            <w:pPr>
              <w:pStyle w:val="6"/>
              <w:spacing w:before="69" w:line="229" w:lineRule="auto"/>
              <w:ind w:left="119"/>
            </w:pPr>
            <w:r>
              <w:rPr>
                <w:spacing w:val="7"/>
              </w:rPr>
              <w:t>制度内容或执行略有缺陷。</w:t>
            </w:r>
          </w:p>
        </w:tc>
        <w:tc>
          <w:tcPr>
            <w:tcW w:w="600" w:type="dxa"/>
            <w:vAlign w:val="top"/>
          </w:tcPr>
          <w:p>
            <w:pPr>
              <w:spacing w:before="114"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564"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5278" w:type="dxa"/>
            <w:vMerge w:val="continue"/>
            <w:tcBorders>
              <w:top w:val="nil"/>
            </w:tcBorders>
            <w:vAlign w:val="top"/>
          </w:tcPr>
          <w:p>
            <w:pPr>
              <w:rPr>
                <w:rFonts w:ascii="Arial"/>
                <w:sz w:val="21"/>
              </w:rPr>
            </w:pPr>
          </w:p>
        </w:tc>
        <w:tc>
          <w:tcPr>
            <w:tcW w:w="4663" w:type="dxa"/>
            <w:vAlign w:val="top"/>
          </w:tcPr>
          <w:p>
            <w:pPr>
              <w:pStyle w:val="6"/>
              <w:spacing w:before="202" w:line="229" w:lineRule="auto"/>
              <w:ind w:left="121"/>
            </w:pPr>
            <w:r>
              <w:rPr>
                <w:spacing w:val="8"/>
              </w:rPr>
              <w:t>无制度或者制度执行严重不足。</w:t>
            </w:r>
          </w:p>
        </w:tc>
        <w:tc>
          <w:tcPr>
            <w:tcW w:w="600" w:type="dxa"/>
            <w:vAlign w:val="top"/>
          </w:tcPr>
          <w:p>
            <w:pPr>
              <w:spacing w:before="247" w:line="195" w:lineRule="auto"/>
              <w:ind w:left="25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04" w:type="dxa"/>
            <w:vAlign w:val="top"/>
          </w:tcPr>
          <w:p>
            <w:pPr>
              <w:rPr>
                <w:rFonts w:ascii="Arial"/>
                <w:sz w:val="21"/>
              </w:rPr>
            </w:pPr>
          </w:p>
        </w:tc>
      </w:tr>
    </w:tbl>
    <w:p>
      <w:pPr>
        <w:spacing w:line="271" w:lineRule="auto"/>
        <w:rPr>
          <w:rFonts w:ascii="Arial"/>
          <w:sz w:val="21"/>
        </w:rPr>
      </w:pPr>
    </w:p>
    <w:p>
      <w:pPr>
        <w:spacing w:before="101" w:line="227" w:lineRule="auto"/>
        <w:ind w:left="5882"/>
        <w:outlineLvl w:val="0"/>
        <w:rPr>
          <w:rFonts w:ascii="黑体" w:hAnsi="黑体" w:eastAsia="黑体" w:cs="黑体"/>
          <w:sz w:val="31"/>
          <w:szCs w:val="31"/>
        </w:rPr>
      </w:pPr>
      <w:r>
        <w:rPr>
          <w:rFonts w:ascii="黑体" w:hAnsi="黑体" w:eastAsia="黑体" w:cs="黑体"/>
          <w:spacing w:val="3"/>
          <w:sz w:val="31"/>
          <w:szCs w:val="31"/>
        </w:rPr>
        <w:t>五、管理制度（共</w:t>
      </w:r>
      <w:r>
        <w:rPr>
          <w:rFonts w:ascii="黑体" w:hAnsi="黑体" w:eastAsia="黑体" w:cs="黑体"/>
          <w:spacing w:val="-57"/>
          <w:sz w:val="31"/>
          <w:szCs w:val="31"/>
        </w:rPr>
        <w:t xml:space="preserve"> </w:t>
      </w:r>
      <w:r>
        <w:rPr>
          <w:rFonts w:ascii="Times New Roman" w:hAnsi="Times New Roman" w:eastAsia="Times New Roman" w:cs="Times New Roman"/>
          <w:spacing w:val="3"/>
          <w:sz w:val="31"/>
          <w:szCs w:val="31"/>
        </w:rPr>
        <w:t>51</w:t>
      </w:r>
      <w:r>
        <w:rPr>
          <w:rFonts w:ascii="Times New Roman" w:hAnsi="Times New Roman" w:eastAsia="Times New Roman" w:cs="Times New Roman"/>
          <w:spacing w:val="23"/>
          <w:w w:val="101"/>
          <w:sz w:val="31"/>
          <w:szCs w:val="31"/>
        </w:rPr>
        <w:t xml:space="preserve"> </w:t>
      </w:r>
      <w:r>
        <w:rPr>
          <w:rFonts w:ascii="黑体" w:hAnsi="黑体" w:eastAsia="黑体" w:cs="黑体"/>
          <w:spacing w:val="3"/>
          <w:sz w:val="31"/>
          <w:szCs w:val="31"/>
        </w:rPr>
        <w:t>分）</w:t>
      </w:r>
    </w:p>
    <w:p>
      <w:pPr>
        <w:spacing w:line="134" w:lineRule="exact"/>
      </w:pPr>
    </w:p>
    <w:tbl>
      <w:tblPr>
        <w:tblStyle w:val="5"/>
        <w:tblW w:w="15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638"/>
        <w:gridCol w:w="5293"/>
        <w:gridCol w:w="4648"/>
        <w:gridCol w:w="615"/>
        <w:gridCol w:w="1394"/>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601" w:type="dxa"/>
            <w:textDirection w:val="tbRlV"/>
            <w:vAlign w:val="top"/>
          </w:tcPr>
          <w:p>
            <w:pPr>
              <w:spacing w:before="194"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38" w:type="dxa"/>
            <w:vAlign w:val="top"/>
          </w:tcPr>
          <w:p>
            <w:pPr>
              <w:spacing w:before="62" w:line="271" w:lineRule="auto"/>
              <w:ind w:left="110" w:right="11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6" w:line="231" w:lineRule="auto"/>
              <w:ind w:left="2229"/>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7"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7"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19" w:type="dxa"/>
            <w:vAlign w:val="top"/>
          </w:tcPr>
          <w:p>
            <w:pPr>
              <w:spacing w:before="227" w:line="231" w:lineRule="auto"/>
              <w:ind w:left="493"/>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restart"/>
            <w:tcBorders>
              <w:bottom w:val="nil"/>
            </w:tcBorders>
            <w:vAlign w:val="top"/>
          </w:tcPr>
          <w:p>
            <w:pPr>
              <w:spacing w:line="392" w:lineRule="auto"/>
              <w:rPr>
                <w:rFonts w:ascii="Arial"/>
                <w:sz w:val="21"/>
              </w:rPr>
            </w:pPr>
          </w:p>
          <w:p>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638" w:type="dxa"/>
            <w:vMerge w:val="restart"/>
            <w:tcBorders>
              <w:bottom w:val="nil"/>
            </w:tcBorders>
            <w:vAlign w:val="top"/>
          </w:tcPr>
          <w:p>
            <w:pPr>
              <w:pStyle w:val="6"/>
              <w:spacing w:before="94" w:line="289" w:lineRule="auto"/>
              <w:ind w:left="108" w:right="112" w:firstLine="2"/>
              <w:jc w:val="both"/>
            </w:pPr>
            <w:r>
              <w:rPr>
                <w:spacing w:val="4"/>
              </w:rPr>
              <w:t>采购</w:t>
            </w:r>
            <w:r>
              <w:t xml:space="preserve"> </w:t>
            </w:r>
            <w:r>
              <w:rPr>
                <w:spacing w:val="6"/>
              </w:rPr>
              <w:t>管理</w:t>
            </w:r>
            <w:r>
              <w:t xml:space="preserve"> </w:t>
            </w:r>
            <w:r>
              <w:rPr>
                <w:spacing w:val="6"/>
              </w:rPr>
              <w:t>及进</w:t>
            </w:r>
          </w:p>
        </w:tc>
        <w:tc>
          <w:tcPr>
            <w:tcW w:w="5293" w:type="dxa"/>
            <w:vMerge w:val="restart"/>
            <w:tcBorders>
              <w:bottom w:val="nil"/>
            </w:tcBorders>
            <w:vAlign w:val="top"/>
          </w:tcPr>
          <w:p>
            <w:pPr>
              <w:pStyle w:val="6"/>
              <w:spacing w:before="91" w:line="289" w:lineRule="auto"/>
              <w:ind w:left="116" w:right="106" w:firstLine="11"/>
              <w:jc w:val="both"/>
            </w:pPr>
            <w:r>
              <w:rPr>
                <w:rFonts w:ascii="Times New Roman" w:hAnsi="Times New Roman" w:eastAsia="Times New Roman" w:cs="Times New Roman"/>
                <w:spacing w:val="12"/>
              </w:rPr>
              <w:t>1.</w:t>
            </w:r>
            <w:r>
              <w:rPr>
                <w:spacing w:val="12"/>
              </w:rPr>
              <w:t>应当建立并执行采购管理制度，规定原料、相关产品</w:t>
            </w:r>
            <w:r>
              <w:rPr>
                <w:spacing w:val="3"/>
              </w:rPr>
              <w:t xml:space="preserve"> </w:t>
            </w:r>
            <w:r>
              <w:rPr>
                <w:spacing w:val="11"/>
              </w:rPr>
              <w:t>验收标准。采购时，应当查验供货者的许可证和产品合</w:t>
            </w:r>
            <w:r>
              <w:t xml:space="preserve"> </w:t>
            </w:r>
            <w:r>
              <w:rPr>
                <w:spacing w:val="11"/>
              </w:rPr>
              <w:t>格证明；对无法提供合格证明的原料、相关产品，应当</w:t>
            </w:r>
          </w:p>
        </w:tc>
        <w:tc>
          <w:tcPr>
            <w:tcW w:w="4648" w:type="dxa"/>
            <w:vAlign w:val="top"/>
          </w:tcPr>
          <w:p>
            <w:pPr>
              <w:pStyle w:val="6"/>
              <w:spacing w:before="68" w:line="229" w:lineRule="auto"/>
              <w:ind w:left="123"/>
            </w:pPr>
            <w:r>
              <w:rPr>
                <w:spacing w:val="5"/>
              </w:rPr>
              <w:t>符合规定要求。</w:t>
            </w:r>
          </w:p>
        </w:tc>
        <w:tc>
          <w:tcPr>
            <w:tcW w:w="615" w:type="dxa"/>
            <w:vAlign w:val="top"/>
          </w:tcPr>
          <w:p>
            <w:pPr>
              <w:spacing w:before="104"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7" w:line="229" w:lineRule="auto"/>
              <w:ind w:left="119"/>
            </w:pPr>
            <w:r>
              <w:rPr>
                <w:spacing w:val="7"/>
              </w:rPr>
              <w:t>制度内容或执行略有不足。</w:t>
            </w:r>
          </w:p>
        </w:tc>
        <w:tc>
          <w:tcPr>
            <w:tcW w:w="615" w:type="dxa"/>
            <w:vAlign w:val="top"/>
          </w:tcPr>
          <w:p>
            <w:pPr>
              <w:spacing w:before="103"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制度内容或执行严重不足。</w:t>
            </w:r>
          </w:p>
        </w:tc>
        <w:tc>
          <w:tcPr>
            <w:tcW w:w="615" w:type="dxa"/>
            <w:vAlign w:val="top"/>
          </w:tcPr>
          <w:p>
            <w:pPr>
              <w:spacing w:before="104"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9" w:type="default"/>
          <w:pgSz w:w="16839" w:h="11906"/>
          <w:pgMar w:top="1012" w:right="786" w:bottom="1166" w:left="1038" w:header="0" w:footer="994" w:gutter="0"/>
          <w:cols w:space="720" w:num="1"/>
        </w:sectPr>
      </w:pPr>
    </w:p>
    <w:p>
      <w:pPr>
        <w:spacing w:before="21"/>
      </w:pPr>
    </w:p>
    <w:p>
      <w:pPr>
        <w:spacing w:before="21"/>
      </w:pPr>
    </w:p>
    <w:p>
      <w:pPr>
        <w:spacing w:before="21"/>
      </w:pPr>
    </w:p>
    <w:tbl>
      <w:tblPr>
        <w:tblStyle w:val="5"/>
        <w:tblW w:w="15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638"/>
        <w:gridCol w:w="5293"/>
        <w:gridCol w:w="4648"/>
        <w:gridCol w:w="615"/>
        <w:gridCol w:w="1394"/>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1" w:type="dxa"/>
            <w:textDirection w:val="tbRlV"/>
            <w:vAlign w:val="top"/>
          </w:tcPr>
          <w:p>
            <w:pPr>
              <w:spacing w:before="194"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38" w:type="dxa"/>
            <w:vAlign w:val="top"/>
          </w:tcPr>
          <w:p>
            <w:pPr>
              <w:spacing w:before="63" w:line="271" w:lineRule="auto"/>
              <w:ind w:left="110" w:right="11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6" w:line="231" w:lineRule="auto"/>
              <w:ind w:left="2229"/>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6"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19" w:type="dxa"/>
            <w:vAlign w:val="top"/>
          </w:tcPr>
          <w:p>
            <w:pPr>
              <w:spacing w:before="227" w:line="231" w:lineRule="auto"/>
              <w:ind w:left="493"/>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601" w:type="dxa"/>
            <w:vMerge w:val="restart"/>
            <w:tcBorders>
              <w:bottom w:val="nil"/>
            </w:tcBorders>
            <w:vAlign w:val="top"/>
          </w:tcPr>
          <w:p>
            <w:pPr>
              <w:rPr>
                <w:rFonts w:ascii="Arial"/>
                <w:sz w:val="21"/>
              </w:rPr>
            </w:pPr>
          </w:p>
        </w:tc>
        <w:tc>
          <w:tcPr>
            <w:tcW w:w="638" w:type="dxa"/>
            <w:vMerge w:val="restart"/>
            <w:tcBorders>
              <w:bottom w:val="nil"/>
            </w:tcBorders>
            <w:vAlign w:val="top"/>
          </w:tcPr>
          <w:p>
            <w:pPr>
              <w:pStyle w:val="6"/>
              <w:spacing w:before="61" w:line="290" w:lineRule="auto"/>
              <w:ind w:left="111" w:right="112" w:firstLine="9"/>
              <w:jc w:val="both"/>
            </w:pPr>
            <w:r>
              <w:rPr>
                <w:spacing w:val="-1"/>
              </w:rPr>
              <w:t>货查</w:t>
            </w:r>
            <w:r>
              <w:t xml:space="preserve"> </w:t>
            </w:r>
            <w:r>
              <w:rPr>
                <w:spacing w:val="4"/>
              </w:rPr>
              <w:t>验记</w:t>
            </w:r>
            <w:r>
              <w:t xml:space="preserve"> 录</w:t>
            </w:r>
          </w:p>
        </w:tc>
        <w:tc>
          <w:tcPr>
            <w:tcW w:w="5293" w:type="dxa"/>
            <w:vAlign w:val="top"/>
          </w:tcPr>
          <w:p>
            <w:pPr>
              <w:pStyle w:val="6"/>
              <w:spacing w:before="59" w:line="229" w:lineRule="auto"/>
              <w:ind w:left="117"/>
            </w:pPr>
            <w:r>
              <w:rPr>
                <w:spacing w:val="8"/>
              </w:rPr>
              <w:t>按照食品安全标准及产品执行标准进行检验。</w:t>
            </w:r>
          </w:p>
          <w:p>
            <w:pPr>
              <w:pStyle w:val="6"/>
              <w:spacing w:before="76" w:line="286" w:lineRule="auto"/>
              <w:ind w:left="117" w:right="106"/>
            </w:pPr>
            <w:r>
              <w:rPr>
                <w:spacing w:val="11"/>
              </w:rPr>
              <w:t>应当建立并执行进货查验记录制度，记录采购的原料、</w:t>
            </w:r>
            <w:r>
              <w:t xml:space="preserve"> </w:t>
            </w:r>
            <w:r>
              <w:rPr>
                <w:spacing w:val="11"/>
              </w:rPr>
              <w:t>相关产品名称、规格、数量、生产日期或者生产批号、</w:t>
            </w:r>
            <w:r>
              <w:t xml:space="preserve"> </w:t>
            </w:r>
            <w:r>
              <w:rPr>
                <w:spacing w:val="11"/>
              </w:rPr>
              <w:t>保质期、进货日期以及供货者名称、地址、联系方式等</w:t>
            </w:r>
            <w:r>
              <w:t xml:space="preserve"> </w:t>
            </w:r>
            <w:r>
              <w:rPr>
                <w:spacing w:val="7"/>
              </w:rPr>
              <w:t>信息，保存相关记录和凭证。</w:t>
            </w:r>
          </w:p>
        </w:tc>
        <w:tc>
          <w:tcPr>
            <w:tcW w:w="4648" w:type="dxa"/>
            <w:vAlign w:val="top"/>
          </w:tcPr>
          <w:p>
            <w:pPr>
              <w:rPr>
                <w:rFonts w:ascii="Arial"/>
                <w:sz w:val="21"/>
              </w:rPr>
            </w:pPr>
          </w:p>
        </w:tc>
        <w:tc>
          <w:tcPr>
            <w:tcW w:w="615" w:type="dxa"/>
            <w:vAlign w:val="top"/>
          </w:tcPr>
          <w:p>
            <w:pPr>
              <w:rPr>
                <w:rFonts w:ascii="Arial"/>
                <w:sz w:val="21"/>
              </w:rPr>
            </w:pP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pStyle w:val="6"/>
              <w:spacing w:before="90" w:line="290" w:lineRule="auto"/>
              <w:ind w:left="117" w:right="106" w:hanging="10"/>
              <w:jc w:val="both"/>
            </w:pPr>
            <w:r>
              <w:rPr>
                <w:rFonts w:ascii="Times New Roman" w:hAnsi="Times New Roman" w:eastAsia="Times New Roman" w:cs="Times New Roman"/>
                <w:spacing w:val="13"/>
              </w:rPr>
              <w:t>2.</w:t>
            </w:r>
            <w:r>
              <w:rPr>
                <w:spacing w:val="13"/>
              </w:rPr>
              <w:t>应当建立并执行供应商审核制度，对原料、相关</w:t>
            </w:r>
            <w:r>
              <w:rPr>
                <w:spacing w:val="12"/>
              </w:rPr>
              <w:t>产品</w:t>
            </w:r>
            <w:r>
              <w:t xml:space="preserve"> </w:t>
            </w:r>
            <w:r>
              <w:rPr>
                <w:spacing w:val="11"/>
              </w:rPr>
              <w:t>供应商的确定、变更进行质量安全评估，必要时进</w:t>
            </w:r>
            <w:r>
              <w:rPr>
                <w:spacing w:val="10"/>
              </w:rPr>
              <w:t>行现</w:t>
            </w:r>
            <w:r>
              <w:t xml:space="preserve"> </w:t>
            </w:r>
            <w:r>
              <w:rPr>
                <w:spacing w:val="6"/>
              </w:rPr>
              <w:t>场质量安全审核。</w:t>
            </w:r>
          </w:p>
        </w:tc>
        <w:tc>
          <w:tcPr>
            <w:tcW w:w="4648" w:type="dxa"/>
            <w:vAlign w:val="top"/>
          </w:tcPr>
          <w:p>
            <w:pPr>
              <w:pStyle w:val="6"/>
              <w:spacing w:before="67" w:line="229" w:lineRule="auto"/>
              <w:ind w:left="123"/>
            </w:pPr>
            <w:r>
              <w:rPr>
                <w:spacing w:val="5"/>
              </w:rPr>
              <w:t>符合规定要求。</w:t>
            </w:r>
          </w:p>
        </w:tc>
        <w:tc>
          <w:tcPr>
            <w:tcW w:w="615" w:type="dxa"/>
            <w:vAlign w:val="top"/>
          </w:tcPr>
          <w:p>
            <w:pPr>
              <w:spacing w:before="103"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制度内容或执行略有不足。</w:t>
            </w:r>
          </w:p>
        </w:tc>
        <w:tc>
          <w:tcPr>
            <w:tcW w:w="615" w:type="dxa"/>
            <w:vAlign w:val="top"/>
          </w:tcPr>
          <w:p>
            <w:pPr>
              <w:spacing w:before="104"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70" w:line="229" w:lineRule="auto"/>
              <w:ind w:left="119"/>
            </w:pPr>
            <w:r>
              <w:rPr>
                <w:spacing w:val="7"/>
              </w:rPr>
              <w:t>制度内容或执行严重不足。</w:t>
            </w:r>
          </w:p>
        </w:tc>
        <w:tc>
          <w:tcPr>
            <w:tcW w:w="615" w:type="dxa"/>
            <w:vAlign w:val="top"/>
          </w:tcPr>
          <w:p>
            <w:pPr>
              <w:spacing w:before="106"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pStyle w:val="6"/>
              <w:spacing w:before="254" w:line="284" w:lineRule="auto"/>
              <w:ind w:left="117" w:right="106" w:hanging="6"/>
            </w:pPr>
            <w:r>
              <w:rPr>
                <w:rFonts w:ascii="Times New Roman" w:hAnsi="Times New Roman" w:eastAsia="Times New Roman" w:cs="Times New Roman"/>
                <w:spacing w:val="12"/>
              </w:rPr>
              <w:t>3.</w:t>
            </w:r>
            <w:r>
              <w:rPr>
                <w:spacing w:val="12"/>
              </w:rPr>
              <w:t>应当建立并执行原料、相关产品贮存管理制度，明确</w:t>
            </w:r>
            <w:r>
              <w:rPr>
                <w:spacing w:val="18"/>
              </w:rPr>
              <w:t xml:space="preserve"> </w:t>
            </w:r>
            <w:r>
              <w:rPr>
                <w:spacing w:val="8"/>
              </w:rPr>
              <w:t>物料贮存条件、标识、使用期限以及相关管理要求。</w:t>
            </w:r>
          </w:p>
        </w:tc>
        <w:tc>
          <w:tcPr>
            <w:tcW w:w="4648" w:type="dxa"/>
            <w:vAlign w:val="top"/>
          </w:tcPr>
          <w:p>
            <w:pPr>
              <w:pStyle w:val="6"/>
              <w:spacing w:before="68" w:line="229" w:lineRule="auto"/>
              <w:ind w:left="123"/>
            </w:pPr>
            <w:r>
              <w:rPr>
                <w:spacing w:val="5"/>
              </w:rPr>
              <w:t>符合规定要求。</w:t>
            </w:r>
          </w:p>
        </w:tc>
        <w:tc>
          <w:tcPr>
            <w:tcW w:w="615" w:type="dxa"/>
            <w:vAlign w:val="top"/>
          </w:tcPr>
          <w:p>
            <w:pPr>
              <w:spacing w:before="104"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制度内容或执行略有不足。</w:t>
            </w:r>
          </w:p>
        </w:tc>
        <w:tc>
          <w:tcPr>
            <w:tcW w:w="615" w:type="dxa"/>
            <w:vAlign w:val="top"/>
          </w:tcPr>
          <w:p>
            <w:pPr>
              <w:spacing w:before="104"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制度内容或执行严重不足。</w:t>
            </w:r>
          </w:p>
        </w:tc>
        <w:tc>
          <w:tcPr>
            <w:tcW w:w="615" w:type="dxa"/>
            <w:vAlign w:val="top"/>
          </w:tcPr>
          <w:p>
            <w:pPr>
              <w:spacing w:before="104"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638"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65" w:line="290" w:lineRule="auto"/>
              <w:ind w:left="113" w:right="112" w:firstLine="10"/>
              <w:jc w:val="both"/>
            </w:pPr>
            <w:r>
              <w:rPr>
                <w:spacing w:val="-2"/>
              </w:rPr>
              <w:t>生产</w:t>
            </w:r>
            <w:r>
              <w:t xml:space="preserve"> </w:t>
            </w:r>
            <w:r>
              <w:rPr>
                <w:spacing w:val="3"/>
              </w:rPr>
              <w:t>过程</w:t>
            </w:r>
            <w:r>
              <w:t xml:space="preserve"> </w:t>
            </w:r>
            <w:r>
              <w:rPr>
                <w:spacing w:val="3"/>
              </w:rPr>
              <w:t>控制</w:t>
            </w:r>
          </w:p>
        </w:tc>
        <w:tc>
          <w:tcPr>
            <w:tcW w:w="5293" w:type="dxa"/>
            <w:vMerge w:val="restart"/>
            <w:tcBorders>
              <w:bottom w:val="nil"/>
            </w:tcBorders>
            <w:vAlign w:val="top"/>
          </w:tcPr>
          <w:p>
            <w:pPr>
              <w:pStyle w:val="6"/>
              <w:spacing w:before="63" w:line="288" w:lineRule="auto"/>
              <w:ind w:left="116" w:right="38" w:firstLine="11"/>
              <w:jc w:val="both"/>
            </w:pPr>
            <w:r>
              <w:rPr>
                <w:rFonts w:ascii="Times New Roman" w:hAnsi="Times New Roman" w:eastAsia="Times New Roman" w:cs="Times New Roman"/>
                <w:spacing w:val="12"/>
              </w:rPr>
              <w:t>1.</w:t>
            </w:r>
            <w:r>
              <w:rPr>
                <w:spacing w:val="12"/>
              </w:rPr>
              <w:t>应当建立并执行生产过程控制管理制度，制定所需的</w:t>
            </w:r>
            <w:r>
              <w:rPr>
                <w:spacing w:val="3"/>
              </w:rPr>
              <w:t xml:space="preserve"> </w:t>
            </w:r>
            <w:r>
              <w:rPr>
                <w:spacing w:val="11"/>
              </w:rPr>
              <w:t>操作规程或作业指导书，明确原料（如领料、投料、余</w:t>
            </w:r>
            <w:r>
              <w:t xml:space="preserve"> </w:t>
            </w:r>
            <w:r>
              <w:rPr>
                <w:spacing w:val="5"/>
              </w:rPr>
              <w:t>料管理等）、生产关键环节（如生产工序、设备、贮存、</w:t>
            </w:r>
            <w:r>
              <w:rPr>
                <w:spacing w:val="7"/>
              </w:rPr>
              <w:t xml:space="preserve"> </w:t>
            </w:r>
            <w:r>
              <w:rPr>
                <w:spacing w:val="11"/>
              </w:rPr>
              <w:t>包装等）控制的相关要求，防止交叉污染，并记录产品</w:t>
            </w:r>
            <w:r>
              <w:t xml:space="preserve"> </w:t>
            </w:r>
            <w:r>
              <w:rPr>
                <w:spacing w:val="8"/>
              </w:rPr>
              <w:t>的加工过程（包括工艺参数、环境监测等）。</w:t>
            </w:r>
          </w:p>
        </w:tc>
        <w:tc>
          <w:tcPr>
            <w:tcW w:w="4648" w:type="dxa"/>
            <w:vAlign w:val="top"/>
          </w:tcPr>
          <w:p>
            <w:pPr>
              <w:pStyle w:val="6"/>
              <w:spacing w:before="69" w:line="229" w:lineRule="auto"/>
              <w:ind w:left="123"/>
            </w:pPr>
            <w:r>
              <w:rPr>
                <w:spacing w:val="5"/>
              </w:rPr>
              <w:t>符合规定要求。</w:t>
            </w:r>
          </w:p>
        </w:tc>
        <w:tc>
          <w:tcPr>
            <w:tcW w:w="615" w:type="dxa"/>
            <w:vAlign w:val="top"/>
          </w:tcPr>
          <w:p>
            <w:pPr>
              <w:spacing w:before="10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70" w:line="229" w:lineRule="auto"/>
              <w:ind w:left="119"/>
            </w:pPr>
            <w:r>
              <w:rPr>
                <w:spacing w:val="8"/>
              </w:rPr>
              <w:t>个别制度内容或执行略有不足。</w:t>
            </w:r>
          </w:p>
        </w:tc>
        <w:tc>
          <w:tcPr>
            <w:tcW w:w="615" w:type="dxa"/>
            <w:vAlign w:val="top"/>
          </w:tcPr>
          <w:p>
            <w:pPr>
              <w:spacing w:before="105"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spacing w:line="299" w:lineRule="auto"/>
              <w:rPr>
                <w:rFonts w:ascii="Arial"/>
                <w:sz w:val="21"/>
              </w:rPr>
            </w:pPr>
          </w:p>
          <w:p>
            <w:pPr>
              <w:pStyle w:val="6"/>
              <w:spacing w:before="65" w:line="229" w:lineRule="auto"/>
              <w:ind w:left="119"/>
            </w:pPr>
            <w:r>
              <w:rPr>
                <w:spacing w:val="7"/>
              </w:rPr>
              <w:t>制度内容或执行严重不足。</w:t>
            </w:r>
          </w:p>
        </w:tc>
        <w:tc>
          <w:tcPr>
            <w:tcW w:w="615" w:type="dxa"/>
            <w:vAlign w:val="top"/>
          </w:tcPr>
          <w:p>
            <w:pPr>
              <w:spacing w:line="341" w:lineRule="auto"/>
              <w:rPr>
                <w:rFonts w:ascii="Arial"/>
                <w:sz w:val="21"/>
              </w:rPr>
            </w:pPr>
          </w:p>
          <w:p>
            <w:pPr>
              <w:spacing w:before="58"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pStyle w:val="6"/>
              <w:spacing w:before="257" w:line="285" w:lineRule="auto"/>
              <w:ind w:left="115" w:right="106" w:hanging="8"/>
            </w:pPr>
            <w:r>
              <w:rPr>
                <w:rFonts w:ascii="Times New Roman" w:hAnsi="Times New Roman" w:eastAsia="Times New Roman" w:cs="Times New Roman"/>
                <w:spacing w:val="11"/>
              </w:rPr>
              <w:t>2.</w:t>
            </w:r>
            <w:r>
              <w:rPr>
                <w:spacing w:val="11"/>
              </w:rPr>
              <w:t>应当建立并执行产品清场、清洁消毒等控制要求，</w:t>
            </w:r>
            <w:r>
              <w:rPr>
                <w:spacing w:val="-52"/>
              </w:rPr>
              <w:t xml:space="preserve"> </w:t>
            </w:r>
            <w:r>
              <w:rPr>
                <w:spacing w:val="11"/>
              </w:rPr>
              <w:t>防</w:t>
            </w:r>
            <w:r>
              <w:t xml:space="preserve"> </w:t>
            </w:r>
            <w:r>
              <w:rPr>
                <w:spacing w:val="8"/>
              </w:rPr>
              <w:t>止生产加工过程中产品受到污染。</w:t>
            </w:r>
          </w:p>
        </w:tc>
        <w:tc>
          <w:tcPr>
            <w:tcW w:w="4648" w:type="dxa"/>
            <w:vAlign w:val="top"/>
          </w:tcPr>
          <w:p>
            <w:pPr>
              <w:pStyle w:val="6"/>
              <w:spacing w:before="70" w:line="229" w:lineRule="auto"/>
              <w:ind w:left="123"/>
            </w:pPr>
            <w:r>
              <w:rPr>
                <w:spacing w:val="5"/>
              </w:rPr>
              <w:t>符合规定要求。</w:t>
            </w:r>
          </w:p>
        </w:tc>
        <w:tc>
          <w:tcPr>
            <w:tcW w:w="615" w:type="dxa"/>
            <w:vAlign w:val="top"/>
          </w:tcPr>
          <w:p>
            <w:pPr>
              <w:spacing w:before="10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70" w:line="229" w:lineRule="auto"/>
              <w:ind w:left="119"/>
            </w:pPr>
            <w:r>
              <w:rPr>
                <w:spacing w:val="8"/>
              </w:rPr>
              <w:t>个别制度内容或执行略有不足。</w:t>
            </w:r>
          </w:p>
        </w:tc>
        <w:tc>
          <w:tcPr>
            <w:tcW w:w="615" w:type="dxa"/>
            <w:vAlign w:val="top"/>
          </w:tcPr>
          <w:p>
            <w:pPr>
              <w:spacing w:before="106"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70" w:line="229" w:lineRule="auto"/>
              <w:ind w:left="119"/>
            </w:pPr>
            <w:r>
              <w:rPr>
                <w:spacing w:val="7"/>
              </w:rPr>
              <w:t>制度内容或执行严重不足。</w:t>
            </w:r>
          </w:p>
        </w:tc>
        <w:tc>
          <w:tcPr>
            <w:tcW w:w="615" w:type="dxa"/>
            <w:vAlign w:val="top"/>
          </w:tcPr>
          <w:p>
            <w:pPr>
              <w:spacing w:before="106"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397" w:lineRule="auto"/>
              <w:rPr>
                <w:rFonts w:ascii="Arial"/>
                <w:sz w:val="21"/>
              </w:rPr>
            </w:pPr>
          </w:p>
          <w:p>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638" w:type="dxa"/>
            <w:vMerge w:val="restart"/>
            <w:tcBorders>
              <w:bottom w:val="nil"/>
            </w:tcBorders>
            <w:vAlign w:val="top"/>
          </w:tcPr>
          <w:p>
            <w:pPr>
              <w:pStyle w:val="6"/>
              <w:spacing w:before="94" w:line="290" w:lineRule="auto"/>
              <w:ind w:left="108" w:right="112"/>
              <w:jc w:val="both"/>
            </w:pPr>
            <w:r>
              <w:rPr>
                <w:spacing w:val="6"/>
              </w:rPr>
              <w:t>检验</w:t>
            </w:r>
            <w:r>
              <w:t xml:space="preserve"> </w:t>
            </w:r>
            <w:r>
              <w:rPr>
                <w:spacing w:val="6"/>
              </w:rPr>
              <w:t>管理</w:t>
            </w:r>
            <w:r>
              <w:t xml:space="preserve"> </w:t>
            </w:r>
            <w:r>
              <w:rPr>
                <w:spacing w:val="6"/>
              </w:rPr>
              <w:t>及出</w:t>
            </w:r>
          </w:p>
        </w:tc>
        <w:tc>
          <w:tcPr>
            <w:tcW w:w="5293" w:type="dxa"/>
            <w:vMerge w:val="restart"/>
            <w:tcBorders>
              <w:bottom w:val="nil"/>
            </w:tcBorders>
            <w:vAlign w:val="top"/>
          </w:tcPr>
          <w:p>
            <w:pPr>
              <w:pStyle w:val="6"/>
              <w:spacing w:before="94" w:line="289" w:lineRule="auto"/>
              <w:ind w:left="117" w:right="106" w:firstLine="10"/>
              <w:jc w:val="both"/>
            </w:pPr>
            <w:r>
              <w:rPr>
                <w:rFonts w:ascii="Times New Roman" w:hAnsi="Times New Roman" w:eastAsia="Times New Roman" w:cs="Times New Roman"/>
                <w:spacing w:val="12"/>
              </w:rPr>
              <w:t>1.</w:t>
            </w:r>
            <w:r>
              <w:rPr>
                <w:spacing w:val="12"/>
              </w:rPr>
              <w:t>应当建立并执行检验管理制度，规定原料检验、过程</w:t>
            </w:r>
            <w:r>
              <w:rPr>
                <w:spacing w:val="3"/>
              </w:rPr>
              <w:t xml:space="preserve"> </w:t>
            </w:r>
            <w:r>
              <w:rPr>
                <w:spacing w:val="11"/>
              </w:rPr>
              <w:t>检验、产品出厂检验以及产品留样的方式及要求，应当</w:t>
            </w:r>
            <w:r>
              <w:t xml:space="preserve"> </w:t>
            </w:r>
            <w:r>
              <w:rPr>
                <w:spacing w:val="9"/>
              </w:rPr>
              <w:t>按照食品安全国家标准、</w:t>
            </w:r>
            <w:r>
              <w:rPr>
                <w:spacing w:val="-53"/>
              </w:rPr>
              <w:t xml:space="preserve"> </w:t>
            </w:r>
            <w:r>
              <w:rPr>
                <w:spacing w:val="9"/>
              </w:rPr>
              <w:t>国务院卫生行政部门公告规定</w:t>
            </w:r>
          </w:p>
        </w:tc>
        <w:tc>
          <w:tcPr>
            <w:tcW w:w="4648" w:type="dxa"/>
            <w:vAlign w:val="top"/>
          </w:tcPr>
          <w:p>
            <w:pPr>
              <w:pStyle w:val="6"/>
              <w:spacing w:before="71" w:line="229" w:lineRule="auto"/>
              <w:ind w:left="123"/>
            </w:pPr>
            <w:r>
              <w:rPr>
                <w:spacing w:val="5"/>
              </w:rPr>
              <w:t>符合规定要求。</w:t>
            </w:r>
          </w:p>
        </w:tc>
        <w:tc>
          <w:tcPr>
            <w:tcW w:w="615" w:type="dxa"/>
            <w:vAlign w:val="top"/>
          </w:tcPr>
          <w:p>
            <w:pPr>
              <w:spacing w:before="106"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71" w:line="229" w:lineRule="auto"/>
              <w:ind w:left="119"/>
            </w:pPr>
            <w:r>
              <w:rPr>
                <w:spacing w:val="7"/>
              </w:rPr>
              <w:t>制度内容或执行略有不足。</w:t>
            </w:r>
          </w:p>
        </w:tc>
        <w:tc>
          <w:tcPr>
            <w:tcW w:w="615" w:type="dxa"/>
            <w:vAlign w:val="top"/>
          </w:tcPr>
          <w:p>
            <w:pPr>
              <w:spacing w:before="107"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8" w:line="229" w:lineRule="auto"/>
              <w:ind w:left="129"/>
            </w:pPr>
            <w:r>
              <w:rPr>
                <w:rFonts w:ascii="Times New Roman" w:hAnsi="Times New Roman" w:eastAsia="Times New Roman" w:cs="Times New Roman"/>
                <w:spacing w:val="10"/>
              </w:rPr>
              <w:t>1.</w:t>
            </w:r>
            <w:r>
              <w:rPr>
                <w:rFonts w:ascii="Times New Roman" w:hAnsi="Times New Roman" w:eastAsia="Times New Roman" w:cs="Times New Roman"/>
                <w:spacing w:val="-13"/>
              </w:rPr>
              <w:t xml:space="preserve"> </w:t>
            </w:r>
            <w:r>
              <w:rPr>
                <w:spacing w:val="10"/>
              </w:rPr>
              <w:t>未按检验管理制度实施原辅料、半成品检验现</w:t>
            </w:r>
          </w:p>
        </w:tc>
        <w:tc>
          <w:tcPr>
            <w:tcW w:w="615" w:type="dxa"/>
            <w:vAlign w:val="top"/>
          </w:tcPr>
          <w:p>
            <w:pPr>
              <w:spacing w:before="105"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0" w:type="default"/>
          <w:pgSz w:w="16839" w:h="11906"/>
          <w:pgMar w:top="1012" w:right="786" w:bottom="1168" w:left="1038" w:header="0" w:footer="994" w:gutter="0"/>
          <w:cols w:space="720" w:num="1"/>
        </w:sectPr>
      </w:pPr>
    </w:p>
    <w:p>
      <w:pPr>
        <w:spacing w:before="21"/>
      </w:pPr>
    </w:p>
    <w:p>
      <w:pPr>
        <w:spacing w:before="21"/>
      </w:pPr>
    </w:p>
    <w:p>
      <w:pPr>
        <w:spacing w:before="21"/>
      </w:pPr>
    </w:p>
    <w:tbl>
      <w:tblPr>
        <w:tblStyle w:val="5"/>
        <w:tblW w:w="15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638"/>
        <w:gridCol w:w="5293"/>
        <w:gridCol w:w="4648"/>
        <w:gridCol w:w="615"/>
        <w:gridCol w:w="1394"/>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1" w:type="dxa"/>
            <w:textDirection w:val="tbRlV"/>
            <w:vAlign w:val="top"/>
          </w:tcPr>
          <w:p>
            <w:pPr>
              <w:spacing w:before="194"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38" w:type="dxa"/>
            <w:vAlign w:val="top"/>
          </w:tcPr>
          <w:p>
            <w:pPr>
              <w:spacing w:before="63" w:line="271" w:lineRule="auto"/>
              <w:ind w:left="110" w:right="11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6" w:line="231" w:lineRule="auto"/>
              <w:ind w:left="2229"/>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6"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19" w:type="dxa"/>
            <w:vAlign w:val="top"/>
          </w:tcPr>
          <w:p>
            <w:pPr>
              <w:spacing w:before="227" w:line="231" w:lineRule="auto"/>
              <w:ind w:left="493"/>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trPr>
        <w:tc>
          <w:tcPr>
            <w:tcW w:w="601" w:type="dxa"/>
            <w:vMerge w:val="restart"/>
            <w:tcBorders>
              <w:bottom w:val="nil"/>
            </w:tcBorders>
            <w:vAlign w:val="top"/>
          </w:tcPr>
          <w:p>
            <w:pPr>
              <w:rPr>
                <w:rFonts w:ascii="Arial"/>
                <w:sz w:val="21"/>
              </w:rPr>
            </w:pPr>
          </w:p>
        </w:tc>
        <w:tc>
          <w:tcPr>
            <w:tcW w:w="638" w:type="dxa"/>
            <w:vMerge w:val="restart"/>
            <w:tcBorders>
              <w:bottom w:val="nil"/>
            </w:tcBorders>
            <w:vAlign w:val="top"/>
          </w:tcPr>
          <w:p>
            <w:pPr>
              <w:pStyle w:val="6"/>
              <w:spacing w:before="61" w:line="290" w:lineRule="auto"/>
              <w:ind w:left="111" w:right="112" w:firstLine="4"/>
              <w:jc w:val="both"/>
            </w:pPr>
            <w:r>
              <w:rPr>
                <w:spacing w:val="2"/>
              </w:rPr>
              <w:t>厂检</w:t>
            </w:r>
            <w:r>
              <w:t xml:space="preserve"> </w:t>
            </w:r>
            <w:r>
              <w:rPr>
                <w:spacing w:val="4"/>
              </w:rPr>
              <w:t>验记</w:t>
            </w:r>
            <w:r>
              <w:t xml:space="preserve"> 录</w:t>
            </w:r>
          </w:p>
        </w:tc>
        <w:tc>
          <w:tcPr>
            <w:tcW w:w="5293" w:type="dxa"/>
            <w:vAlign w:val="top"/>
          </w:tcPr>
          <w:p>
            <w:pPr>
              <w:pStyle w:val="6"/>
              <w:spacing w:before="59" w:line="289" w:lineRule="auto"/>
              <w:ind w:left="118" w:right="106" w:firstLine="10"/>
              <w:jc w:val="both"/>
            </w:pPr>
            <w:r>
              <w:rPr>
                <w:spacing w:val="10"/>
              </w:rPr>
              <w:t>的项目对所生产的食品用香精出厂逐批检验，保存相关</w:t>
            </w:r>
            <w:r>
              <w:rPr>
                <w:spacing w:val="11"/>
              </w:rPr>
              <w:t xml:space="preserve"> 检验和留样记录。委托检验的，应当委托有资质</w:t>
            </w:r>
            <w:r>
              <w:rPr>
                <w:spacing w:val="10"/>
              </w:rPr>
              <w:t>的机构</w:t>
            </w:r>
            <w:r>
              <w:t xml:space="preserve"> </w:t>
            </w:r>
            <w:r>
              <w:rPr>
                <w:spacing w:val="4"/>
              </w:rPr>
              <w:t>进行检验。</w:t>
            </w:r>
          </w:p>
          <w:p>
            <w:pPr>
              <w:pStyle w:val="6"/>
              <w:spacing w:before="37" w:line="289" w:lineRule="auto"/>
              <w:ind w:left="117" w:right="106"/>
              <w:jc w:val="both"/>
            </w:pPr>
            <w:r>
              <w:rPr>
                <w:spacing w:val="11"/>
              </w:rPr>
              <w:t>应当建立并执行产品出厂检验记录制度，规定产品出厂</w:t>
            </w:r>
            <w:r>
              <w:t xml:space="preserve"> </w:t>
            </w:r>
            <w:r>
              <w:rPr>
                <w:spacing w:val="11"/>
              </w:rPr>
              <w:t>时，查验出厂产品的安全状况和检验合格证明，记录产</w:t>
            </w:r>
            <w:r>
              <w:t xml:space="preserve"> </w:t>
            </w:r>
            <w:r>
              <w:rPr>
                <w:spacing w:val="11"/>
              </w:rPr>
              <w:t>品的名称、规格、数量、生产日期或者生产批号、保质</w:t>
            </w:r>
            <w:r>
              <w:t xml:space="preserve"> </w:t>
            </w:r>
            <w:r>
              <w:rPr>
                <w:spacing w:val="11"/>
              </w:rPr>
              <w:t>期、检验合格证明编号、销售日期以及购货者名称、地</w:t>
            </w:r>
            <w:r>
              <w:t xml:space="preserve"> </w:t>
            </w:r>
            <w:r>
              <w:rPr>
                <w:spacing w:val="8"/>
              </w:rPr>
              <w:t>址、联系方式等信息，保存相关记录和凭证。</w:t>
            </w:r>
          </w:p>
        </w:tc>
        <w:tc>
          <w:tcPr>
            <w:tcW w:w="4648" w:type="dxa"/>
            <w:vAlign w:val="top"/>
          </w:tcPr>
          <w:p>
            <w:pPr>
              <w:pStyle w:val="6"/>
              <w:spacing w:before="59" w:line="232" w:lineRule="auto"/>
              <w:ind w:left="122"/>
            </w:pPr>
            <w:r>
              <w:rPr>
                <w:spacing w:val="2"/>
              </w:rPr>
              <w:t>象普遍。</w:t>
            </w:r>
          </w:p>
          <w:p>
            <w:pPr>
              <w:pStyle w:val="6"/>
              <w:spacing w:before="75" w:line="229" w:lineRule="auto"/>
              <w:ind w:left="109"/>
            </w:pPr>
            <w:r>
              <w:rPr>
                <w:rFonts w:ascii="Times New Roman" w:hAnsi="Times New Roman" w:eastAsia="Times New Roman" w:cs="Times New Roman"/>
                <w:spacing w:val="8"/>
              </w:rPr>
              <w:t>2.</w:t>
            </w:r>
            <w:r>
              <w:rPr>
                <w:spacing w:val="8"/>
              </w:rPr>
              <w:t>未按规定实施成品出厂全项目检验。</w:t>
            </w:r>
          </w:p>
          <w:p>
            <w:pPr>
              <w:pStyle w:val="6"/>
              <w:spacing w:before="76" w:line="228" w:lineRule="auto"/>
              <w:ind w:left="113"/>
            </w:pPr>
            <w:r>
              <w:rPr>
                <w:rFonts w:ascii="Times New Roman" w:hAnsi="Times New Roman" w:eastAsia="Times New Roman" w:cs="Times New Roman"/>
                <w:spacing w:val="8"/>
              </w:rPr>
              <w:t>3.</w:t>
            </w:r>
            <w:r>
              <w:rPr>
                <w:spacing w:val="8"/>
              </w:rPr>
              <w:t>产品在出厂检验工作未完成前已出厂销售。</w:t>
            </w:r>
          </w:p>
          <w:p>
            <w:pPr>
              <w:pStyle w:val="6"/>
              <w:spacing w:before="79" w:line="285" w:lineRule="auto"/>
              <w:ind w:left="121" w:right="105" w:hanging="13"/>
            </w:pPr>
            <w:r>
              <w:rPr>
                <w:rFonts w:ascii="Times New Roman" w:hAnsi="Times New Roman" w:eastAsia="Times New Roman" w:cs="Times New Roman"/>
                <w:spacing w:val="9"/>
              </w:rPr>
              <w:t>4.</w:t>
            </w:r>
            <w:r>
              <w:rPr>
                <w:rFonts w:ascii="Times New Roman" w:hAnsi="Times New Roman" w:eastAsia="Times New Roman" w:cs="Times New Roman"/>
                <w:spacing w:val="-16"/>
              </w:rPr>
              <w:t xml:space="preserve"> </w:t>
            </w:r>
            <w:r>
              <w:rPr>
                <w:spacing w:val="9"/>
              </w:rPr>
              <w:t>产品批次定义混乱，</w:t>
            </w:r>
            <w:r>
              <w:rPr>
                <w:spacing w:val="-54"/>
              </w:rPr>
              <w:t xml:space="preserve"> </w:t>
            </w:r>
            <w:r>
              <w:rPr>
                <w:spacing w:val="9"/>
              </w:rPr>
              <w:t>出厂逐批检验制度无法有</w:t>
            </w:r>
            <w:r>
              <w:t xml:space="preserve"> </w:t>
            </w:r>
            <w:r>
              <w:rPr>
                <w:spacing w:val="2"/>
              </w:rPr>
              <w:t>效落实。</w:t>
            </w:r>
          </w:p>
          <w:p>
            <w:pPr>
              <w:pStyle w:val="6"/>
              <w:spacing w:before="35" w:line="229" w:lineRule="auto"/>
              <w:ind w:left="114"/>
            </w:pPr>
            <w:r>
              <w:rPr>
                <w:rFonts w:ascii="Times New Roman" w:hAnsi="Times New Roman" w:eastAsia="Times New Roman" w:cs="Times New Roman"/>
                <w:spacing w:val="8"/>
              </w:rPr>
              <w:t>5.</w:t>
            </w:r>
            <w:r>
              <w:rPr>
                <w:spacing w:val="8"/>
              </w:rPr>
              <w:t>其他制度内容或执行严重不足的情形。</w:t>
            </w:r>
          </w:p>
        </w:tc>
        <w:tc>
          <w:tcPr>
            <w:tcW w:w="615" w:type="dxa"/>
            <w:vAlign w:val="top"/>
          </w:tcPr>
          <w:p>
            <w:pPr>
              <w:rPr>
                <w:rFonts w:ascii="Arial"/>
                <w:sz w:val="21"/>
              </w:rPr>
            </w:pP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84" w:lineRule="auto"/>
              <w:ind w:left="115" w:right="35" w:hanging="8"/>
            </w:pPr>
            <w:r>
              <w:rPr>
                <w:rFonts w:ascii="Times New Roman" w:hAnsi="Times New Roman" w:eastAsia="Times New Roman" w:cs="Times New Roman"/>
                <w:spacing w:val="13"/>
              </w:rPr>
              <w:t>2.</w:t>
            </w:r>
            <w:r>
              <w:rPr>
                <w:spacing w:val="13"/>
              </w:rPr>
              <w:t>应当建立并执行检验方法和检验能力定期比对或</w:t>
            </w:r>
            <w:r>
              <w:rPr>
                <w:spacing w:val="12"/>
              </w:rPr>
              <w:t>者验</w:t>
            </w:r>
            <w:r>
              <w:t xml:space="preserve"> </w:t>
            </w:r>
            <w:r>
              <w:rPr>
                <w:spacing w:val="5"/>
              </w:rPr>
              <w:t>证要求，确保非标准方法的准确性和检验能力的符合性。</w:t>
            </w:r>
          </w:p>
        </w:tc>
        <w:tc>
          <w:tcPr>
            <w:tcW w:w="4648" w:type="dxa"/>
            <w:vAlign w:val="top"/>
          </w:tcPr>
          <w:p>
            <w:pPr>
              <w:pStyle w:val="6"/>
              <w:spacing w:before="67" w:line="229" w:lineRule="auto"/>
              <w:ind w:left="123"/>
            </w:pPr>
            <w:r>
              <w:rPr>
                <w:spacing w:val="5"/>
              </w:rPr>
              <w:t>符合规定要求。</w:t>
            </w:r>
          </w:p>
        </w:tc>
        <w:tc>
          <w:tcPr>
            <w:tcW w:w="615" w:type="dxa"/>
            <w:vAlign w:val="top"/>
          </w:tcPr>
          <w:p>
            <w:pPr>
              <w:spacing w:before="103"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8" w:line="229" w:lineRule="auto"/>
              <w:ind w:left="119"/>
            </w:pPr>
            <w:r>
              <w:rPr>
                <w:spacing w:val="7"/>
              </w:rPr>
              <w:t>制度内容或执行略有不足。</w:t>
            </w:r>
          </w:p>
        </w:tc>
        <w:tc>
          <w:tcPr>
            <w:tcW w:w="615" w:type="dxa"/>
            <w:vAlign w:val="top"/>
          </w:tcPr>
          <w:p>
            <w:pPr>
              <w:spacing w:before="103"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0" w:line="284" w:lineRule="auto"/>
              <w:ind w:left="117" w:right="105" w:firstLine="12"/>
            </w:pPr>
            <w:r>
              <w:rPr>
                <w:rFonts w:ascii="Times New Roman" w:hAnsi="Times New Roman" w:eastAsia="Times New Roman" w:cs="Times New Roman"/>
                <w:spacing w:val="11"/>
              </w:rPr>
              <w:t>1.</w:t>
            </w:r>
            <w:r>
              <w:rPr>
                <w:spacing w:val="11"/>
              </w:rPr>
              <w:t>使用未经比对、验证的非国标检验方法开展原</w:t>
            </w:r>
            <w:r>
              <w:rPr>
                <w:spacing w:val="15"/>
              </w:rPr>
              <w:t xml:space="preserve"> </w:t>
            </w:r>
            <w:r>
              <w:rPr>
                <w:spacing w:val="8"/>
              </w:rPr>
              <w:t>辅料验收或成品出厂检验。</w:t>
            </w:r>
          </w:p>
          <w:p>
            <w:pPr>
              <w:pStyle w:val="6"/>
              <w:spacing w:before="37" w:line="284" w:lineRule="auto"/>
              <w:ind w:left="121" w:right="105" w:hanging="12"/>
            </w:pPr>
            <w:r>
              <w:rPr>
                <w:rFonts w:ascii="Times New Roman" w:hAnsi="Times New Roman" w:eastAsia="Times New Roman" w:cs="Times New Roman"/>
                <w:spacing w:val="10"/>
              </w:rPr>
              <w:t>2.</w:t>
            </w:r>
            <w:r>
              <w:rPr>
                <w:rFonts w:ascii="Times New Roman" w:hAnsi="Times New Roman" w:eastAsia="Times New Roman" w:cs="Times New Roman"/>
                <w:spacing w:val="7"/>
              </w:rPr>
              <w:t xml:space="preserve"> </w:t>
            </w:r>
            <w:r>
              <w:rPr>
                <w:spacing w:val="10"/>
              </w:rPr>
              <w:t>出厂检验能力严重不足，或未定期开展检验能</w:t>
            </w:r>
            <w:r>
              <w:t xml:space="preserve"> </w:t>
            </w:r>
            <w:r>
              <w:rPr>
                <w:spacing w:val="5"/>
              </w:rPr>
              <w:t>力比对工作。</w:t>
            </w:r>
          </w:p>
          <w:p>
            <w:pPr>
              <w:pStyle w:val="6"/>
              <w:spacing w:before="37" w:line="229" w:lineRule="auto"/>
              <w:ind w:left="113"/>
            </w:pPr>
            <w:r>
              <w:rPr>
                <w:rFonts w:ascii="Times New Roman" w:hAnsi="Times New Roman" w:eastAsia="Times New Roman" w:cs="Times New Roman"/>
                <w:spacing w:val="8"/>
              </w:rPr>
              <w:t>3.</w:t>
            </w:r>
            <w:r>
              <w:rPr>
                <w:spacing w:val="8"/>
              </w:rPr>
              <w:t>其他制度内容或执行严重不足的情形。</w:t>
            </w:r>
          </w:p>
        </w:tc>
        <w:tc>
          <w:tcPr>
            <w:tcW w:w="615" w:type="dxa"/>
            <w:vAlign w:val="top"/>
          </w:tcPr>
          <w:p>
            <w:pPr>
              <w:spacing w:line="343" w:lineRule="auto"/>
              <w:rPr>
                <w:rFonts w:ascii="Arial"/>
                <w:sz w:val="21"/>
              </w:rPr>
            </w:pPr>
          </w:p>
          <w:p>
            <w:pPr>
              <w:spacing w:line="344" w:lineRule="auto"/>
              <w:rPr>
                <w:rFonts w:ascii="Arial"/>
                <w:sz w:val="21"/>
              </w:rPr>
            </w:pPr>
          </w:p>
          <w:p>
            <w:pPr>
              <w:spacing w:before="58"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before="58" w:line="195"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638" w:type="dxa"/>
            <w:vMerge w:val="restart"/>
            <w:tcBorders>
              <w:bottom w:val="nil"/>
            </w:tcBorders>
            <w:vAlign w:val="top"/>
          </w:tcPr>
          <w:p>
            <w:pPr>
              <w:pStyle w:val="6"/>
              <w:spacing w:before="62" w:line="285" w:lineRule="auto"/>
              <w:ind w:left="112" w:right="112" w:hanging="1"/>
              <w:jc w:val="both"/>
            </w:pPr>
            <w:r>
              <w:rPr>
                <w:spacing w:val="4"/>
              </w:rPr>
              <w:t>运输</w:t>
            </w:r>
            <w:r>
              <w:t xml:space="preserve"> </w:t>
            </w:r>
            <w:r>
              <w:rPr>
                <w:spacing w:val="3"/>
              </w:rPr>
              <w:t>和交</w:t>
            </w:r>
            <w:r>
              <w:t xml:space="preserve"> </w:t>
            </w:r>
            <w:r>
              <w:rPr>
                <w:spacing w:val="3"/>
              </w:rPr>
              <w:t>付管</w:t>
            </w:r>
            <w:r>
              <w:t xml:space="preserve"> 理</w:t>
            </w:r>
          </w:p>
        </w:tc>
        <w:tc>
          <w:tcPr>
            <w:tcW w:w="5293" w:type="dxa"/>
            <w:vMerge w:val="restart"/>
            <w:tcBorders>
              <w:bottom w:val="nil"/>
            </w:tcBorders>
            <w:vAlign w:val="top"/>
          </w:tcPr>
          <w:p>
            <w:pPr>
              <w:pStyle w:val="6"/>
              <w:spacing w:before="62" w:line="285" w:lineRule="auto"/>
              <w:ind w:left="122" w:right="106" w:hanging="5"/>
              <w:jc w:val="both"/>
            </w:pPr>
            <w:r>
              <w:rPr>
                <w:spacing w:val="11"/>
              </w:rPr>
              <w:t>应当建立并执行运输和交付管理制度，规定根据产品特</w:t>
            </w:r>
            <w:r>
              <w:t xml:space="preserve"> </w:t>
            </w:r>
            <w:r>
              <w:rPr>
                <w:spacing w:val="10"/>
              </w:rPr>
              <w:t>点、贮存要求、运输条件选择适宜的运输方式，并做好</w:t>
            </w:r>
            <w:r>
              <w:rPr>
                <w:spacing w:val="18"/>
              </w:rPr>
              <w:t xml:space="preserve"> </w:t>
            </w:r>
            <w:r>
              <w:rPr>
                <w:spacing w:val="10"/>
              </w:rPr>
              <w:t>交付记录。委托运输的，应当对受托方的食品安全保障</w:t>
            </w:r>
            <w:r>
              <w:rPr>
                <w:spacing w:val="18"/>
              </w:rPr>
              <w:t xml:space="preserve"> </w:t>
            </w:r>
            <w:r>
              <w:rPr>
                <w:spacing w:val="5"/>
              </w:rPr>
              <w:t>能力进行审核。</w:t>
            </w:r>
          </w:p>
        </w:tc>
        <w:tc>
          <w:tcPr>
            <w:tcW w:w="4648" w:type="dxa"/>
            <w:vAlign w:val="top"/>
          </w:tcPr>
          <w:p>
            <w:pPr>
              <w:pStyle w:val="6"/>
              <w:spacing w:before="68" w:line="229" w:lineRule="auto"/>
              <w:ind w:left="123"/>
            </w:pPr>
            <w:r>
              <w:rPr>
                <w:spacing w:val="5"/>
              </w:rPr>
              <w:t>符合规定要求。</w:t>
            </w:r>
          </w:p>
        </w:tc>
        <w:tc>
          <w:tcPr>
            <w:tcW w:w="615" w:type="dxa"/>
            <w:vAlign w:val="top"/>
          </w:tcPr>
          <w:p>
            <w:pPr>
              <w:spacing w:before="104"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制度内容或执行略有不足。</w:t>
            </w:r>
          </w:p>
        </w:tc>
        <w:tc>
          <w:tcPr>
            <w:tcW w:w="615" w:type="dxa"/>
            <w:vAlign w:val="top"/>
          </w:tcPr>
          <w:p>
            <w:pPr>
              <w:spacing w:before="104"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201" w:line="229" w:lineRule="auto"/>
              <w:ind w:left="119"/>
            </w:pPr>
            <w:r>
              <w:rPr>
                <w:spacing w:val="7"/>
              </w:rPr>
              <w:t>制度内容或执行严重不足。</w:t>
            </w:r>
          </w:p>
        </w:tc>
        <w:tc>
          <w:tcPr>
            <w:tcW w:w="615" w:type="dxa"/>
            <w:vAlign w:val="top"/>
          </w:tcPr>
          <w:p>
            <w:pPr>
              <w:spacing w:before="236"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58" w:line="192"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638" w:type="dxa"/>
            <w:vMerge w:val="restart"/>
            <w:tcBorders>
              <w:bottom w:val="nil"/>
            </w:tcBorders>
            <w:vAlign w:val="top"/>
          </w:tcPr>
          <w:p>
            <w:pPr>
              <w:pStyle w:val="6"/>
              <w:spacing w:before="66" w:line="285" w:lineRule="auto"/>
              <w:ind w:left="111" w:right="112" w:firstLine="2"/>
              <w:jc w:val="both"/>
            </w:pPr>
            <w:r>
              <w:rPr>
                <w:spacing w:val="3"/>
              </w:rPr>
              <w:t>食品</w:t>
            </w:r>
            <w:r>
              <w:t xml:space="preserve"> </w:t>
            </w:r>
            <w:r>
              <w:rPr>
                <w:spacing w:val="4"/>
              </w:rPr>
              <w:t>安全</w:t>
            </w:r>
            <w:r>
              <w:t xml:space="preserve"> </w:t>
            </w:r>
            <w:r>
              <w:rPr>
                <w:spacing w:val="4"/>
              </w:rPr>
              <w:t>追溯</w:t>
            </w:r>
            <w:r>
              <w:t xml:space="preserve"> </w:t>
            </w:r>
            <w:r>
              <w:rPr>
                <w:spacing w:val="4"/>
              </w:rPr>
              <w:t>管理</w:t>
            </w:r>
          </w:p>
        </w:tc>
        <w:tc>
          <w:tcPr>
            <w:tcW w:w="5293" w:type="dxa"/>
            <w:vMerge w:val="restart"/>
            <w:tcBorders>
              <w:bottom w:val="nil"/>
            </w:tcBorders>
            <w:vAlign w:val="top"/>
          </w:tcPr>
          <w:p>
            <w:pPr>
              <w:spacing w:line="323" w:lineRule="auto"/>
              <w:rPr>
                <w:rFonts w:ascii="Arial"/>
                <w:sz w:val="21"/>
              </w:rPr>
            </w:pPr>
          </w:p>
          <w:p>
            <w:pPr>
              <w:pStyle w:val="6"/>
              <w:spacing w:before="65" w:line="284" w:lineRule="auto"/>
              <w:ind w:left="116" w:right="106"/>
            </w:pPr>
            <w:r>
              <w:rPr>
                <w:spacing w:val="11"/>
              </w:rPr>
              <w:t>应当建立并执行食品安全追溯管理体系，记录并保存法</w:t>
            </w:r>
            <w:r>
              <w:t xml:space="preserve"> </w:t>
            </w:r>
            <w:r>
              <w:rPr>
                <w:spacing w:val="8"/>
              </w:rPr>
              <w:t>律、法规及标准等规定的信息，保证产品可追溯。</w:t>
            </w:r>
          </w:p>
        </w:tc>
        <w:tc>
          <w:tcPr>
            <w:tcW w:w="4648" w:type="dxa"/>
            <w:vAlign w:val="top"/>
          </w:tcPr>
          <w:p>
            <w:pPr>
              <w:pStyle w:val="6"/>
              <w:spacing w:before="70" w:line="229" w:lineRule="auto"/>
              <w:ind w:left="123"/>
            </w:pPr>
            <w:r>
              <w:rPr>
                <w:spacing w:val="5"/>
              </w:rPr>
              <w:t>符合规定要求。</w:t>
            </w:r>
          </w:p>
        </w:tc>
        <w:tc>
          <w:tcPr>
            <w:tcW w:w="615" w:type="dxa"/>
            <w:vAlign w:val="top"/>
          </w:tcPr>
          <w:p>
            <w:pPr>
              <w:spacing w:before="106"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71" w:line="229" w:lineRule="auto"/>
              <w:ind w:left="130"/>
            </w:pPr>
            <w:r>
              <w:rPr>
                <w:spacing w:val="6"/>
              </w:rPr>
              <w:t>管理体系或执行略有不足。</w:t>
            </w:r>
          </w:p>
        </w:tc>
        <w:tc>
          <w:tcPr>
            <w:tcW w:w="615" w:type="dxa"/>
            <w:vAlign w:val="top"/>
          </w:tcPr>
          <w:p>
            <w:pPr>
              <w:spacing w:before="106"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203" w:line="229" w:lineRule="auto"/>
              <w:ind w:left="119"/>
            </w:pPr>
            <w:r>
              <w:rPr>
                <w:spacing w:val="7"/>
              </w:rPr>
              <w:t>制度内容或执行严重不足。</w:t>
            </w:r>
          </w:p>
        </w:tc>
        <w:tc>
          <w:tcPr>
            <w:tcW w:w="615" w:type="dxa"/>
            <w:vAlign w:val="top"/>
          </w:tcPr>
          <w:p>
            <w:pPr>
              <w:spacing w:before="239"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1" w:type="default"/>
          <w:pgSz w:w="16839" w:h="11906"/>
          <w:pgMar w:top="1012" w:right="786" w:bottom="1166" w:left="1038" w:header="0" w:footer="994" w:gutter="0"/>
          <w:cols w:space="720" w:num="1"/>
        </w:sectPr>
      </w:pPr>
    </w:p>
    <w:p>
      <w:pPr>
        <w:spacing w:before="21"/>
      </w:pPr>
    </w:p>
    <w:p>
      <w:pPr>
        <w:spacing w:before="21"/>
      </w:pPr>
    </w:p>
    <w:p>
      <w:pPr>
        <w:spacing w:before="21"/>
      </w:pPr>
    </w:p>
    <w:tbl>
      <w:tblPr>
        <w:tblStyle w:val="5"/>
        <w:tblW w:w="15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638"/>
        <w:gridCol w:w="5293"/>
        <w:gridCol w:w="4648"/>
        <w:gridCol w:w="615"/>
        <w:gridCol w:w="1394"/>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1" w:type="dxa"/>
            <w:textDirection w:val="tbRlV"/>
            <w:vAlign w:val="top"/>
          </w:tcPr>
          <w:p>
            <w:pPr>
              <w:spacing w:before="194"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38" w:type="dxa"/>
            <w:vAlign w:val="top"/>
          </w:tcPr>
          <w:p>
            <w:pPr>
              <w:spacing w:before="63" w:line="271" w:lineRule="auto"/>
              <w:ind w:left="110" w:right="11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6" w:line="231" w:lineRule="auto"/>
              <w:ind w:left="2229"/>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6"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19" w:type="dxa"/>
            <w:vAlign w:val="top"/>
          </w:tcPr>
          <w:p>
            <w:pPr>
              <w:spacing w:before="227" w:line="231" w:lineRule="auto"/>
              <w:ind w:left="493"/>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restart"/>
            <w:tcBorders>
              <w:bottom w:val="nil"/>
            </w:tcBorders>
            <w:vAlign w:val="top"/>
          </w:tcPr>
          <w:p>
            <w:pPr>
              <w:spacing w:line="342" w:lineRule="auto"/>
              <w:rPr>
                <w:rFonts w:ascii="Arial"/>
                <w:sz w:val="21"/>
              </w:rPr>
            </w:pPr>
          </w:p>
          <w:p>
            <w:pPr>
              <w:spacing w:line="342" w:lineRule="auto"/>
              <w:rPr>
                <w:rFonts w:ascii="Arial"/>
                <w:sz w:val="21"/>
              </w:rPr>
            </w:pPr>
          </w:p>
          <w:p>
            <w:pPr>
              <w:spacing w:before="58" w:line="195"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638" w:type="dxa"/>
            <w:vMerge w:val="restart"/>
            <w:tcBorders>
              <w:bottom w:val="nil"/>
            </w:tcBorders>
            <w:vAlign w:val="top"/>
          </w:tcPr>
          <w:p>
            <w:pPr>
              <w:spacing w:line="319" w:lineRule="auto"/>
              <w:rPr>
                <w:rFonts w:ascii="Arial"/>
                <w:sz w:val="21"/>
              </w:rPr>
            </w:pPr>
          </w:p>
          <w:p>
            <w:pPr>
              <w:pStyle w:val="6"/>
              <w:spacing w:before="65" w:line="290" w:lineRule="auto"/>
              <w:ind w:left="118" w:right="112" w:hanging="2"/>
              <w:jc w:val="both"/>
            </w:pPr>
            <w:r>
              <w:rPr>
                <w:spacing w:val="2"/>
              </w:rPr>
              <w:t>食品</w:t>
            </w:r>
            <w:r>
              <w:t xml:space="preserve"> 安全 自查</w:t>
            </w:r>
          </w:p>
        </w:tc>
        <w:tc>
          <w:tcPr>
            <w:tcW w:w="5293" w:type="dxa"/>
            <w:vMerge w:val="restart"/>
            <w:tcBorders>
              <w:bottom w:val="nil"/>
            </w:tcBorders>
            <w:vAlign w:val="top"/>
          </w:tcPr>
          <w:p>
            <w:pPr>
              <w:pStyle w:val="6"/>
              <w:spacing w:before="57" w:line="289" w:lineRule="auto"/>
              <w:ind w:left="119" w:right="106" w:hanging="2"/>
              <w:jc w:val="both"/>
            </w:pPr>
            <w:r>
              <w:rPr>
                <w:spacing w:val="11"/>
              </w:rPr>
              <w:t>应当建立并执行食品安全自查制度，规定对食品添加剂</w:t>
            </w:r>
            <w:r>
              <w:t xml:space="preserve"> </w:t>
            </w:r>
            <w:r>
              <w:rPr>
                <w:spacing w:val="11"/>
              </w:rPr>
              <w:t>安全状况定期进行检查评价，并根据评价结果采</w:t>
            </w:r>
            <w:r>
              <w:rPr>
                <w:spacing w:val="10"/>
              </w:rPr>
              <w:t>取相应</w:t>
            </w:r>
            <w:r>
              <w:t xml:space="preserve"> </w:t>
            </w:r>
            <w:r>
              <w:rPr>
                <w:spacing w:val="11"/>
              </w:rPr>
              <w:t>的处理措施。有发生食品安全事故潜在风险的，</w:t>
            </w:r>
            <w:r>
              <w:rPr>
                <w:spacing w:val="10"/>
              </w:rPr>
              <w:t>应当立</w:t>
            </w:r>
            <w:r>
              <w:t xml:space="preserve"> </w:t>
            </w:r>
            <w:r>
              <w:rPr>
                <w:spacing w:val="11"/>
              </w:rPr>
              <w:t>即停止食品添加剂生产活动，并向所在地县级市</w:t>
            </w:r>
            <w:r>
              <w:rPr>
                <w:spacing w:val="10"/>
              </w:rPr>
              <w:t>场监督</w:t>
            </w:r>
            <w:r>
              <w:t xml:space="preserve"> </w:t>
            </w:r>
            <w:r>
              <w:rPr>
                <w:spacing w:val="5"/>
              </w:rPr>
              <w:t>管理部门报告。</w:t>
            </w:r>
          </w:p>
        </w:tc>
        <w:tc>
          <w:tcPr>
            <w:tcW w:w="4648" w:type="dxa"/>
            <w:vAlign w:val="top"/>
          </w:tcPr>
          <w:p>
            <w:pPr>
              <w:pStyle w:val="6"/>
              <w:spacing w:before="67" w:line="229" w:lineRule="auto"/>
              <w:ind w:left="123"/>
            </w:pPr>
            <w:r>
              <w:rPr>
                <w:spacing w:val="5"/>
              </w:rPr>
              <w:t>符合规定要求。</w:t>
            </w:r>
          </w:p>
        </w:tc>
        <w:tc>
          <w:tcPr>
            <w:tcW w:w="615" w:type="dxa"/>
            <w:vAlign w:val="top"/>
          </w:tcPr>
          <w:p>
            <w:pPr>
              <w:spacing w:before="103"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6" w:line="229" w:lineRule="auto"/>
              <w:ind w:left="119"/>
            </w:pPr>
            <w:r>
              <w:rPr>
                <w:spacing w:val="7"/>
              </w:rPr>
              <w:t>制度内容或执行略有不足。</w:t>
            </w:r>
          </w:p>
        </w:tc>
        <w:tc>
          <w:tcPr>
            <w:tcW w:w="615" w:type="dxa"/>
            <w:vAlign w:val="top"/>
          </w:tcPr>
          <w:p>
            <w:pPr>
              <w:spacing w:before="102"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spacing w:line="295" w:lineRule="auto"/>
              <w:rPr>
                <w:rFonts w:ascii="Arial"/>
                <w:sz w:val="21"/>
              </w:rPr>
            </w:pPr>
          </w:p>
          <w:p>
            <w:pPr>
              <w:pStyle w:val="6"/>
              <w:spacing w:before="65" w:line="229" w:lineRule="auto"/>
              <w:ind w:left="119"/>
            </w:pPr>
            <w:r>
              <w:rPr>
                <w:spacing w:val="7"/>
              </w:rPr>
              <w:t>制度内容或执行严重不足。</w:t>
            </w:r>
          </w:p>
        </w:tc>
        <w:tc>
          <w:tcPr>
            <w:tcW w:w="615" w:type="dxa"/>
            <w:vAlign w:val="top"/>
          </w:tcPr>
          <w:p>
            <w:pPr>
              <w:spacing w:line="338" w:lineRule="auto"/>
              <w:rPr>
                <w:rFonts w:ascii="Arial"/>
                <w:sz w:val="21"/>
              </w:rPr>
            </w:pPr>
          </w:p>
          <w:p>
            <w:pPr>
              <w:spacing w:before="57"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58" w:line="192"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638" w:type="dxa"/>
            <w:vMerge w:val="restart"/>
            <w:tcBorders>
              <w:bottom w:val="nil"/>
            </w:tcBorders>
            <w:vAlign w:val="top"/>
          </w:tcPr>
          <w:p>
            <w:pPr>
              <w:pStyle w:val="6"/>
              <w:spacing w:before="61" w:line="292" w:lineRule="auto"/>
              <w:ind w:left="116" w:right="112" w:firstLine="5"/>
              <w:jc w:val="both"/>
            </w:pPr>
            <w:r>
              <w:rPr>
                <w:spacing w:val="-1"/>
              </w:rPr>
              <w:t>不合</w:t>
            </w:r>
            <w:r>
              <w:t xml:space="preserve"> </w:t>
            </w:r>
            <w:r>
              <w:rPr>
                <w:spacing w:val="2"/>
              </w:rPr>
              <w:t>格品</w:t>
            </w:r>
            <w:r>
              <w:t xml:space="preserve"> </w:t>
            </w:r>
            <w:r>
              <w:rPr>
                <w:spacing w:val="2"/>
              </w:rPr>
              <w:t>管理</w:t>
            </w:r>
            <w:r>
              <w:t xml:space="preserve"> </w:t>
            </w:r>
            <w:r>
              <w:rPr>
                <w:spacing w:val="2"/>
              </w:rPr>
              <w:t>及不</w:t>
            </w:r>
            <w:r>
              <w:t xml:space="preserve"> </w:t>
            </w:r>
            <w:r>
              <w:rPr>
                <w:spacing w:val="2"/>
              </w:rPr>
              <w:t>安全</w:t>
            </w:r>
            <w:r>
              <w:t xml:space="preserve"> </w:t>
            </w:r>
            <w:r>
              <w:rPr>
                <w:spacing w:val="2"/>
              </w:rPr>
              <w:t>食品</w:t>
            </w:r>
            <w:r>
              <w:t xml:space="preserve"> </w:t>
            </w:r>
            <w:r>
              <w:rPr>
                <w:spacing w:val="2"/>
              </w:rPr>
              <w:t>召回</w:t>
            </w:r>
          </w:p>
        </w:tc>
        <w:tc>
          <w:tcPr>
            <w:tcW w:w="5293" w:type="dxa"/>
            <w:vMerge w:val="restart"/>
            <w:tcBorders>
              <w:bottom w:val="nil"/>
            </w:tcBorders>
            <w:vAlign w:val="top"/>
          </w:tcPr>
          <w:p>
            <w:pPr>
              <w:pStyle w:val="6"/>
              <w:spacing w:before="225" w:line="291" w:lineRule="auto"/>
              <w:ind w:left="116" w:right="40"/>
              <w:jc w:val="both"/>
            </w:pPr>
            <w:r>
              <w:rPr>
                <w:spacing w:val="5"/>
              </w:rPr>
              <w:t>应当建立并执行不合格品管理制度，规定原料、半成品、</w:t>
            </w:r>
            <w:r>
              <w:rPr>
                <w:spacing w:val="4"/>
              </w:rPr>
              <w:t xml:space="preserve"> </w:t>
            </w:r>
            <w:r>
              <w:rPr>
                <w:spacing w:val="18"/>
              </w:rPr>
              <w:t>成品及食品相关产品</w:t>
            </w:r>
            <w:r>
              <w:rPr>
                <w:spacing w:val="-47"/>
              </w:rPr>
              <w:t xml:space="preserve"> </w:t>
            </w:r>
            <w:r>
              <w:rPr>
                <w:spacing w:val="18"/>
              </w:rPr>
              <w:t>中不合格品的管理要求和</w:t>
            </w:r>
            <w:r>
              <w:rPr>
                <w:spacing w:val="17"/>
              </w:rPr>
              <w:t>处置措</w:t>
            </w:r>
            <w:r>
              <w:t xml:space="preserve"> </w:t>
            </w:r>
            <w:r>
              <w:rPr>
                <w:spacing w:val="-3"/>
              </w:rPr>
              <w:t>施。</w:t>
            </w:r>
          </w:p>
          <w:p>
            <w:pPr>
              <w:pStyle w:val="6"/>
              <w:spacing w:before="31" w:line="290" w:lineRule="auto"/>
              <w:ind w:left="117" w:right="106"/>
            </w:pPr>
            <w:r>
              <w:rPr>
                <w:spacing w:val="11"/>
              </w:rPr>
              <w:t>应当建立并执行不安全食品召回制度，规定停止生产、</w:t>
            </w:r>
            <w:r>
              <w:t xml:space="preserve"> </w:t>
            </w:r>
            <w:r>
              <w:rPr>
                <w:spacing w:val="11"/>
              </w:rPr>
              <w:t>通知相关生产经营者和消费者、召回和处置不安全食品</w:t>
            </w:r>
            <w:r>
              <w:t xml:space="preserve"> </w:t>
            </w:r>
            <w:r>
              <w:rPr>
                <w:spacing w:val="8"/>
              </w:rPr>
              <w:t>添加剂的相关要求，记录召回和通知情况。</w:t>
            </w:r>
          </w:p>
        </w:tc>
        <w:tc>
          <w:tcPr>
            <w:tcW w:w="4648" w:type="dxa"/>
            <w:vAlign w:val="top"/>
          </w:tcPr>
          <w:p>
            <w:pPr>
              <w:pStyle w:val="6"/>
              <w:spacing w:before="68" w:line="229" w:lineRule="auto"/>
              <w:ind w:left="123"/>
            </w:pPr>
            <w:r>
              <w:rPr>
                <w:spacing w:val="5"/>
              </w:rPr>
              <w:t>符合规定要求。</w:t>
            </w:r>
          </w:p>
        </w:tc>
        <w:tc>
          <w:tcPr>
            <w:tcW w:w="615" w:type="dxa"/>
            <w:vAlign w:val="top"/>
          </w:tcPr>
          <w:p>
            <w:pPr>
              <w:spacing w:before="104"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制度内容或执行略有不足。</w:t>
            </w:r>
          </w:p>
        </w:tc>
        <w:tc>
          <w:tcPr>
            <w:tcW w:w="615" w:type="dxa"/>
            <w:vAlign w:val="top"/>
          </w:tcPr>
          <w:p>
            <w:pPr>
              <w:spacing w:before="104"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spacing w:line="310" w:lineRule="auto"/>
              <w:rPr>
                <w:rFonts w:ascii="Arial"/>
                <w:sz w:val="21"/>
              </w:rPr>
            </w:pPr>
          </w:p>
          <w:p>
            <w:pPr>
              <w:spacing w:line="310" w:lineRule="auto"/>
              <w:rPr>
                <w:rFonts w:ascii="Arial"/>
                <w:sz w:val="21"/>
              </w:rPr>
            </w:pPr>
          </w:p>
          <w:p>
            <w:pPr>
              <w:pStyle w:val="6"/>
              <w:spacing w:before="65" w:line="229" w:lineRule="auto"/>
              <w:ind w:left="119"/>
            </w:pPr>
            <w:r>
              <w:rPr>
                <w:spacing w:val="7"/>
              </w:rPr>
              <w:t>制度内容或执行严重不足。</w:t>
            </w:r>
          </w:p>
        </w:tc>
        <w:tc>
          <w:tcPr>
            <w:tcW w:w="615" w:type="dxa"/>
            <w:vAlign w:val="top"/>
          </w:tcPr>
          <w:p>
            <w:pPr>
              <w:spacing w:line="331" w:lineRule="auto"/>
              <w:rPr>
                <w:rFonts w:ascii="Arial"/>
                <w:sz w:val="21"/>
              </w:rPr>
            </w:pPr>
          </w:p>
          <w:p>
            <w:pPr>
              <w:spacing w:line="331" w:lineRule="auto"/>
              <w:rPr>
                <w:rFonts w:ascii="Arial"/>
                <w:sz w:val="21"/>
              </w:rPr>
            </w:pPr>
          </w:p>
          <w:p>
            <w:pPr>
              <w:spacing w:before="58"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58" w:line="195"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p>
        </w:tc>
        <w:tc>
          <w:tcPr>
            <w:tcW w:w="638"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65" w:line="298" w:lineRule="auto"/>
              <w:ind w:left="116" w:right="112"/>
              <w:jc w:val="both"/>
            </w:pPr>
            <w:r>
              <w:rPr>
                <w:spacing w:val="2"/>
              </w:rPr>
              <w:t>食品</w:t>
            </w:r>
            <w:r>
              <w:t xml:space="preserve"> </w:t>
            </w:r>
            <w:r>
              <w:rPr>
                <w:spacing w:val="2"/>
              </w:rPr>
              <w:t>添加</w:t>
            </w:r>
            <w:r>
              <w:t xml:space="preserve"> </w:t>
            </w:r>
            <w:r>
              <w:rPr>
                <w:spacing w:val="2"/>
              </w:rPr>
              <w:t>剂标</w:t>
            </w:r>
            <w:r>
              <w:t xml:space="preserve"> </w:t>
            </w:r>
            <w:r>
              <w:rPr>
                <w:spacing w:val="2"/>
              </w:rPr>
              <w:t>签和</w:t>
            </w:r>
            <w:r>
              <w:t xml:space="preserve"> </w:t>
            </w:r>
            <w:r>
              <w:rPr>
                <w:spacing w:val="2"/>
              </w:rPr>
              <w:t>说明</w:t>
            </w:r>
            <w:r>
              <w:t xml:space="preserve"> </w:t>
            </w:r>
            <w:r>
              <w:rPr>
                <w:spacing w:val="2"/>
              </w:rPr>
              <w:t>书管</w:t>
            </w:r>
            <w:r>
              <w:t xml:space="preserve"> 理</w:t>
            </w:r>
          </w:p>
        </w:tc>
        <w:tc>
          <w:tcPr>
            <w:tcW w:w="5293"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85" w:lineRule="auto"/>
              <w:ind w:left="130" w:right="106" w:hanging="13"/>
            </w:pPr>
            <w:r>
              <w:rPr>
                <w:spacing w:val="11"/>
              </w:rPr>
              <w:t>应当建立并执行标签和说明书管理制度，确保标签和说</w:t>
            </w:r>
            <w:r>
              <w:t xml:space="preserve"> </w:t>
            </w:r>
            <w:r>
              <w:rPr>
                <w:spacing w:val="6"/>
              </w:rPr>
              <w:t>明书事项完整、真实。</w:t>
            </w:r>
          </w:p>
        </w:tc>
        <w:tc>
          <w:tcPr>
            <w:tcW w:w="4648" w:type="dxa"/>
            <w:vAlign w:val="top"/>
          </w:tcPr>
          <w:p>
            <w:pPr>
              <w:pStyle w:val="6"/>
              <w:spacing w:before="69" w:line="229" w:lineRule="auto"/>
              <w:ind w:left="123"/>
            </w:pPr>
            <w:r>
              <w:rPr>
                <w:spacing w:val="5"/>
              </w:rPr>
              <w:t>符合规定要求。</w:t>
            </w:r>
          </w:p>
        </w:tc>
        <w:tc>
          <w:tcPr>
            <w:tcW w:w="615" w:type="dxa"/>
            <w:vAlign w:val="top"/>
          </w:tcPr>
          <w:p>
            <w:pPr>
              <w:spacing w:before="10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6"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3" w:line="229" w:lineRule="auto"/>
              <w:ind w:left="129"/>
            </w:pPr>
            <w:r>
              <w:rPr>
                <w:rFonts w:ascii="Times New Roman" w:hAnsi="Times New Roman" w:eastAsia="Times New Roman" w:cs="Times New Roman"/>
                <w:spacing w:val="6"/>
              </w:rPr>
              <w:t>1.</w:t>
            </w:r>
            <w:r>
              <w:rPr>
                <w:spacing w:val="6"/>
              </w:rPr>
              <w:t>食品添加剂名称命名不规范。</w:t>
            </w:r>
          </w:p>
          <w:p>
            <w:pPr>
              <w:pStyle w:val="6"/>
              <w:spacing w:before="78" w:line="285" w:lineRule="auto"/>
              <w:ind w:left="120" w:right="177" w:hanging="11"/>
            </w:pPr>
            <w:r>
              <w:rPr>
                <w:rFonts w:ascii="Times New Roman" w:hAnsi="Times New Roman" w:eastAsia="Times New Roman" w:cs="Times New Roman"/>
                <w:spacing w:val="7"/>
              </w:rPr>
              <w:t>2.“</w:t>
            </w:r>
            <w:r>
              <w:rPr>
                <w:spacing w:val="7"/>
              </w:rPr>
              <w:t>使用范围</w:t>
            </w:r>
            <w:r>
              <w:rPr>
                <w:rFonts w:ascii="Times New Roman" w:hAnsi="Times New Roman" w:eastAsia="Times New Roman" w:cs="Times New Roman"/>
                <w:spacing w:val="7"/>
              </w:rPr>
              <w:t>”</w:t>
            </w:r>
            <w:r>
              <w:rPr>
                <w:spacing w:val="7"/>
              </w:rPr>
              <w:t>未按</w:t>
            </w:r>
            <w:r>
              <w:rPr>
                <w:spacing w:val="-35"/>
              </w:rPr>
              <w:t xml:space="preserve"> </w:t>
            </w:r>
            <w:r>
              <w:rPr>
                <w:rFonts w:ascii="Times New Roman" w:hAnsi="Times New Roman" w:eastAsia="Times New Roman" w:cs="Times New Roman"/>
              </w:rPr>
              <w:t>GB</w:t>
            </w:r>
            <w:r>
              <w:rPr>
                <w:rFonts w:ascii="Times New Roman" w:hAnsi="Times New Roman" w:eastAsia="Times New Roman" w:cs="Times New Roman"/>
                <w:spacing w:val="7"/>
              </w:rPr>
              <w:t xml:space="preserve"> 2760</w:t>
            </w:r>
            <w:r>
              <w:rPr>
                <w:rFonts w:ascii="Times New Roman" w:hAnsi="Times New Roman" w:eastAsia="Times New Roman" w:cs="Times New Roman"/>
                <w:spacing w:val="17"/>
              </w:rPr>
              <w:t xml:space="preserve"> </w:t>
            </w:r>
            <w:r>
              <w:rPr>
                <w:spacing w:val="7"/>
              </w:rPr>
              <w:t>规定标示到具体食品</w:t>
            </w:r>
            <w:r>
              <w:t xml:space="preserve"> </w:t>
            </w:r>
            <w:r>
              <w:rPr>
                <w:spacing w:val="5"/>
              </w:rPr>
              <w:t>类别或细类。</w:t>
            </w:r>
          </w:p>
          <w:p>
            <w:pPr>
              <w:pStyle w:val="6"/>
              <w:spacing w:before="31" w:line="291" w:lineRule="auto"/>
              <w:ind w:left="122" w:right="105" w:hanging="9"/>
              <w:jc w:val="both"/>
            </w:pPr>
            <w:r>
              <w:rPr>
                <w:rFonts w:ascii="Times New Roman" w:hAnsi="Times New Roman" w:eastAsia="Times New Roman" w:cs="Times New Roman"/>
                <w:spacing w:val="11"/>
              </w:rPr>
              <w:t>3.</w:t>
            </w:r>
            <w:r>
              <w:rPr>
                <w:rFonts w:ascii="Times New Roman" w:hAnsi="Times New Roman" w:eastAsia="Times New Roman" w:cs="Times New Roman"/>
                <w:spacing w:val="-19"/>
              </w:rPr>
              <w:t xml:space="preserve"> </w:t>
            </w:r>
            <w:r>
              <w:rPr>
                <w:spacing w:val="11"/>
              </w:rPr>
              <w:t>未准确标示所执行的食品安全国家标准的标准</w:t>
            </w:r>
            <w:r>
              <w:t xml:space="preserve"> </w:t>
            </w:r>
            <w:r>
              <w:rPr>
                <w:spacing w:val="8"/>
              </w:rPr>
              <w:t>代号和顺序号、</w:t>
            </w:r>
            <w:r>
              <w:rPr>
                <w:spacing w:val="-55"/>
              </w:rPr>
              <w:t xml:space="preserve"> </w:t>
            </w:r>
            <w:r>
              <w:rPr>
                <w:spacing w:val="8"/>
              </w:rPr>
              <w:t>国务院卫生行政部门相关公告字</w:t>
            </w:r>
            <w:r>
              <w:t xml:space="preserve"> </w:t>
            </w:r>
            <w:r>
              <w:rPr>
                <w:spacing w:val="-5"/>
              </w:rPr>
              <w:t>号。</w:t>
            </w:r>
          </w:p>
          <w:p>
            <w:pPr>
              <w:pStyle w:val="6"/>
              <w:spacing w:before="32" w:line="290" w:lineRule="auto"/>
              <w:ind w:left="118" w:right="105" w:hanging="10"/>
              <w:jc w:val="both"/>
            </w:pPr>
            <w:r>
              <w:rPr>
                <w:rFonts w:ascii="Times New Roman" w:hAnsi="Times New Roman" w:eastAsia="Times New Roman" w:cs="Times New Roman"/>
                <w:spacing w:val="11"/>
              </w:rPr>
              <w:t>4.</w:t>
            </w:r>
            <w:r>
              <w:rPr>
                <w:rFonts w:ascii="Times New Roman" w:hAnsi="Times New Roman" w:eastAsia="Times New Roman" w:cs="Times New Roman"/>
                <w:spacing w:val="-14"/>
              </w:rPr>
              <w:t xml:space="preserve"> </w:t>
            </w:r>
            <w:r>
              <w:rPr>
                <w:spacing w:val="11"/>
              </w:rPr>
              <w:t>含有食品用热加工香味料而无法检测相对密度</w:t>
            </w:r>
            <w:r>
              <w:t xml:space="preserve"> </w:t>
            </w:r>
            <w:r>
              <w:rPr>
                <w:spacing w:val="10"/>
              </w:rPr>
              <w:t>和折光指数的液体香精，未标示本产品含有食品</w:t>
            </w:r>
            <w:r>
              <w:rPr>
                <w:spacing w:val="7"/>
              </w:rPr>
              <w:t xml:space="preserve"> </w:t>
            </w:r>
            <w:r>
              <w:rPr>
                <w:spacing w:val="6"/>
              </w:rPr>
              <w:t>用热加工香味料。</w:t>
            </w:r>
          </w:p>
          <w:p>
            <w:pPr>
              <w:pStyle w:val="6"/>
              <w:spacing w:before="35" w:line="228" w:lineRule="auto"/>
              <w:ind w:left="114"/>
            </w:pPr>
            <w:r>
              <w:rPr>
                <w:rFonts w:ascii="Times New Roman" w:hAnsi="Times New Roman" w:eastAsia="Times New Roman" w:cs="Times New Roman"/>
                <w:spacing w:val="11"/>
              </w:rPr>
              <w:t>5.</w:t>
            </w:r>
            <w:r>
              <w:rPr>
                <w:rFonts w:ascii="Times New Roman" w:hAnsi="Times New Roman" w:eastAsia="Times New Roman" w:cs="Times New Roman"/>
                <w:spacing w:val="-21"/>
              </w:rPr>
              <w:t xml:space="preserve"> </w:t>
            </w:r>
            <w:r>
              <w:rPr>
                <w:spacing w:val="11"/>
              </w:rPr>
              <w:t>在食品用香精中加入食品添加剂着色剂、甜味</w:t>
            </w:r>
          </w:p>
        </w:tc>
        <w:tc>
          <w:tcPr>
            <w:tcW w:w="615"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7"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2" w:type="default"/>
          <w:pgSz w:w="16839" w:h="11906"/>
          <w:pgMar w:top="1012" w:right="786" w:bottom="1168" w:left="1038" w:header="0" w:footer="994" w:gutter="0"/>
          <w:cols w:space="720" w:num="1"/>
        </w:sectPr>
      </w:pPr>
    </w:p>
    <w:p>
      <w:pPr>
        <w:spacing w:before="21"/>
      </w:pPr>
    </w:p>
    <w:p>
      <w:pPr>
        <w:spacing w:before="21"/>
      </w:pPr>
    </w:p>
    <w:p>
      <w:pPr>
        <w:spacing w:before="21"/>
      </w:pPr>
    </w:p>
    <w:tbl>
      <w:tblPr>
        <w:tblStyle w:val="5"/>
        <w:tblW w:w="15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638"/>
        <w:gridCol w:w="5293"/>
        <w:gridCol w:w="4648"/>
        <w:gridCol w:w="615"/>
        <w:gridCol w:w="1394"/>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1" w:type="dxa"/>
            <w:textDirection w:val="tbRlV"/>
            <w:vAlign w:val="top"/>
          </w:tcPr>
          <w:p>
            <w:pPr>
              <w:spacing w:before="194"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38" w:type="dxa"/>
            <w:vAlign w:val="top"/>
          </w:tcPr>
          <w:p>
            <w:pPr>
              <w:spacing w:before="63" w:line="271" w:lineRule="auto"/>
              <w:ind w:left="110" w:right="11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6" w:line="231" w:lineRule="auto"/>
              <w:ind w:left="2229"/>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6"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19" w:type="dxa"/>
            <w:vAlign w:val="top"/>
          </w:tcPr>
          <w:p>
            <w:pPr>
              <w:spacing w:before="227" w:line="231" w:lineRule="auto"/>
              <w:ind w:left="493"/>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601" w:type="dxa"/>
            <w:vMerge w:val="restart"/>
            <w:tcBorders>
              <w:bottom w:val="nil"/>
            </w:tcBorders>
            <w:vAlign w:val="top"/>
          </w:tcPr>
          <w:p>
            <w:pPr>
              <w:rPr>
                <w:rFonts w:ascii="Arial"/>
                <w:sz w:val="21"/>
              </w:rPr>
            </w:pPr>
          </w:p>
        </w:tc>
        <w:tc>
          <w:tcPr>
            <w:tcW w:w="638" w:type="dxa"/>
            <w:vMerge w:val="restart"/>
            <w:tcBorders>
              <w:bottom w:val="nil"/>
            </w:tcBorders>
            <w:vAlign w:val="top"/>
          </w:tcPr>
          <w:p>
            <w:pPr>
              <w:rPr>
                <w:rFonts w:ascii="Arial"/>
                <w:sz w:val="21"/>
              </w:rPr>
            </w:pPr>
          </w:p>
        </w:tc>
        <w:tc>
          <w:tcPr>
            <w:tcW w:w="5293" w:type="dxa"/>
            <w:vMerge w:val="restart"/>
            <w:tcBorders>
              <w:bottom w:val="nil"/>
            </w:tcBorders>
            <w:vAlign w:val="top"/>
          </w:tcPr>
          <w:p>
            <w:pPr>
              <w:rPr>
                <w:rFonts w:ascii="Arial"/>
                <w:sz w:val="21"/>
              </w:rPr>
            </w:pPr>
          </w:p>
        </w:tc>
        <w:tc>
          <w:tcPr>
            <w:tcW w:w="4648" w:type="dxa"/>
            <w:vAlign w:val="top"/>
          </w:tcPr>
          <w:p>
            <w:pPr>
              <w:pStyle w:val="6"/>
              <w:spacing w:before="60" w:line="292" w:lineRule="auto"/>
              <w:ind w:left="117" w:right="102"/>
              <w:jc w:val="both"/>
            </w:pPr>
            <w:r>
              <w:rPr>
                <w:spacing w:val="5"/>
              </w:rPr>
              <w:t xml:space="preserve">剂、咖啡因，未按《食品安全国家标准 食品添加 </w:t>
            </w:r>
            <w:r>
              <w:rPr>
                <w:spacing w:val="9"/>
              </w:rPr>
              <w:t>剂使用标准》</w:t>
            </w:r>
            <w:r>
              <w:rPr>
                <w:spacing w:val="-59"/>
              </w:rPr>
              <w:t xml:space="preserve"> </w:t>
            </w:r>
            <w:r>
              <w:rPr>
                <w:spacing w:val="9"/>
              </w:rPr>
              <w:t>（</w:t>
            </w:r>
            <w:r>
              <w:rPr>
                <w:rFonts w:ascii="Times New Roman" w:hAnsi="Times New Roman" w:eastAsia="Times New Roman" w:cs="Times New Roman"/>
              </w:rPr>
              <w:t>GB</w:t>
            </w:r>
            <w:r>
              <w:rPr>
                <w:rFonts w:ascii="Times New Roman" w:hAnsi="Times New Roman" w:eastAsia="Times New Roman" w:cs="Times New Roman"/>
                <w:spacing w:val="9"/>
              </w:rPr>
              <w:t xml:space="preserve"> 2760</w:t>
            </w:r>
            <w:r>
              <w:rPr>
                <w:spacing w:val="9"/>
              </w:rPr>
              <w:t>）</w:t>
            </w:r>
            <w:r>
              <w:rPr>
                <w:spacing w:val="-46"/>
              </w:rPr>
              <w:t xml:space="preserve"> </w:t>
            </w:r>
            <w:r>
              <w:rPr>
                <w:spacing w:val="9"/>
              </w:rPr>
              <w:t>、食品添加剂的产品</w:t>
            </w:r>
            <w:r>
              <w:t xml:space="preserve"> </w:t>
            </w:r>
            <w:r>
              <w:rPr>
                <w:spacing w:val="10"/>
              </w:rPr>
              <w:t>质量规格标准和国家主管部门批准使用的食品添</w:t>
            </w:r>
            <w:r>
              <w:rPr>
                <w:spacing w:val="8"/>
              </w:rPr>
              <w:t xml:space="preserve"> 加剂中的规定标示具体名称。</w:t>
            </w:r>
          </w:p>
          <w:p>
            <w:pPr>
              <w:pStyle w:val="6"/>
              <w:spacing w:before="36" w:line="271" w:lineRule="auto"/>
              <w:ind w:left="117" w:right="105" w:hanging="4"/>
            </w:pPr>
            <w:r>
              <w:rPr>
                <w:rFonts w:ascii="Times New Roman" w:hAnsi="Times New Roman" w:eastAsia="Times New Roman" w:cs="Times New Roman"/>
                <w:spacing w:val="7"/>
              </w:rPr>
              <w:t>6.</w:t>
            </w:r>
            <w:r>
              <w:rPr>
                <w:spacing w:val="7"/>
              </w:rPr>
              <w:t>其他不符合《食品安全国家标准 食品添加剂标</w:t>
            </w:r>
            <w:r>
              <w:rPr>
                <w:spacing w:val="11"/>
              </w:rPr>
              <w:t xml:space="preserve"> </w:t>
            </w:r>
            <w:r>
              <w:rPr>
                <w:spacing w:val="7"/>
              </w:rPr>
              <w:t>识通则》（</w:t>
            </w:r>
            <w:r>
              <w:rPr>
                <w:rFonts w:ascii="Times New Roman" w:hAnsi="Times New Roman" w:eastAsia="Times New Roman" w:cs="Times New Roman"/>
              </w:rPr>
              <w:t>GB</w:t>
            </w:r>
            <w:r>
              <w:rPr>
                <w:rFonts w:ascii="Times New Roman" w:hAnsi="Times New Roman" w:eastAsia="Times New Roman" w:cs="Times New Roman"/>
                <w:spacing w:val="7"/>
              </w:rPr>
              <w:t xml:space="preserve"> 29924</w:t>
            </w:r>
            <w:r>
              <w:rPr>
                <w:spacing w:val="7"/>
              </w:rPr>
              <w:t>）规定的。</w:t>
            </w:r>
          </w:p>
        </w:tc>
        <w:tc>
          <w:tcPr>
            <w:tcW w:w="615" w:type="dxa"/>
            <w:vAlign w:val="top"/>
          </w:tcPr>
          <w:p>
            <w:pPr>
              <w:rPr>
                <w:rFonts w:ascii="Arial"/>
                <w:sz w:val="21"/>
              </w:rPr>
            </w:pP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0"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0" w:line="228" w:lineRule="auto"/>
              <w:ind w:left="129"/>
            </w:pPr>
            <w:r>
              <w:rPr>
                <w:rFonts w:ascii="Times New Roman" w:hAnsi="Times New Roman" w:eastAsia="Times New Roman" w:cs="Times New Roman"/>
                <w:spacing w:val="6"/>
              </w:rPr>
              <w:t>1.</w:t>
            </w:r>
            <w:r>
              <w:rPr>
                <w:spacing w:val="6"/>
              </w:rPr>
              <w:t>未明确标示</w:t>
            </w:r>
            <w:r>
              <w:rPr>
                <w:rFonts w:ascii="Times New Roman" w:hAnsi="Times New Roman" w:eastAsia="Times New Roman" w:cs="Times New Roman"/>
                <w:spacing w:val="6"/>
              </w:rPr>
              <w:t>“</w:t>
            </w:r>
            <w:r>
              <w:rPr>
                <w:spacing w:val="6"/>
              </w:rPr>
              <w:t>食品用香精</w:t>
            </w:r>
            <w:r>
              <w:rPr>
                <w:rFonts w:ascii="Times New Roman" w:hAnsi="Times New Roman" w:eastAsia="Times New Roman" w:cs="Times New Roman"/>
                <w:spacing w:val="6"/>
              </w:rPr>
              <w:t>”</w:t>
            </w:r>
            <w:r>
              <w:rPr>
                <w:spacing w:val="6"/>
              </w:rPr>
              <w:t>字样。</w:t>
            </w:r>
          </w:p>
          <w:p>
            <w:pPr>
              <w:pStyle w:val="6"/>
              <w:spacing w:before="79" w:line="229" w:lineRule="auto"/>
              <w:ind w:left="109"/>
            </w:pPr>
            <w:r>
              <w:rPr>
                <w:rFonts w:ascii="Times New Roman" w:hAnsi="Times New Roman" w:eastAsia="Times New Roman" w:cs="Times New Roman"/>
                <w:spacing w:val="8"/>
              </w:rPr>
              <w:t>2.</w:t>
            </w:r>
            <w:r>
              <w:rPr>
                <w:spacing w:val="8"/>
              </w:rPr>
              <w:t>食品用香精使用量标示单位与净含量不一致、</w:t>
            </w:r>
          </w:p>
          <w:p>
            <w:pPr>
              <w:pStyle w:val="6"/>
              <w:spacing w:before="78" w:line="285" w:lineRule="auto"/>
              <w:ind w:left="120" w:right="129" w:hanging="3"/>
            </w:pPr>
            <w:r>
              <w:rPr>
                <w:spacing w:val="9"/>
              </w:rPr>
              <w:t>数值高于食品安全国家标准规定使用的最大使用</w:t>
            </w:r>
            <w:r>
              <w:rPr>
                <w:spacing w:val="5"/>
              </w:rPr>
              <w:t xml:space="preserve"> </w:t>
            </w:r>
            <w:r>
              <w:rPr>
                <w:spacing w:val="-5"/>
              </w:rPr>
              <w:t>量。</w:t>
            </w:r>
          </w:p>
          <w:p>
            <w:pPr>
              <w:pStyle w:val="6"/>
              <w:spacing w:before="33" w:line="284" w:lineRule="auto"/>
              <w:ind w:left="118" w:right="184" w:hanging="5"/>
            </w:pPr>
            <w:r>
              <w:rPr>
                <w:rFonts w:ascii="Times New Roman" w:hAnsi="Times New Roman" w:eastAsia="Times New Roman" w:cs="Times New Roman"/>
                <w:spacing w:val="8"/>
              </w:rPr>
              <w:t>3.</w:t>
            </w:r>
            <w:r>
              <w:rPr>
                <w:spacing w:val="8"/>
              </w:rPr>
              <w:t>使用食品安全国家标准明确规定不得添加食品</w:t>
            </w:r>
            <w:r>
              <w:rPr>
                <w:spacing w:val="18"/>
              </w:rPr>
              <w:t xml:space="preserve"> </w:t>
            </w:r>
            <w:r>
              <w:rPr>
                <w:spacing w:val="8"/>
              </w:rPr>
              <w:t>用香精的食品名称直接命名食品用香精。</w:t>
            </w:r>
          </w:p>
          <w:p>
            <w:pPr>
              <w:pStyle w:val="6"/>
              <w:spacing w:before="39" w:line="294" w:lineRule="auto"/>
              <w:ind w:left="114" w:right="102" w:hanging="6"/>
            </w:pPr>
            <w:r>
              <w:rPr>
                <w:rFonts w:ascii="Times New Roman" w:hAnsi="Times New Roman" w:eastAsia="Times New Roman" w:cs="Times New Roman"/>
                <w:spacing w:val="9"/>
              </w:rPr>
              <w:t>4.</w:t>
            </w:r>
            <w:r>
              <w:rPr>
                <w:spacing w:val="9"/>
              </w:rPr>
              <w:t>名称和型号与香气、香味、生产工艺等不相适</w:t>
            </w:r>
            <w:r>
              <w:t xml:space="preserve">  </w:t>
            </w:r>
            <w:r>
              <w:rPr>
                <w:spacing w:val="10"/>
              </w:rPr>
              <w:t>应，且易造成误解或混淆，具有误导或欺骗性。</w:t>
            </w:r>
            <w:r>
              <w:rPr>
                <w:spacing w:val="8"/>
              </w:rPr>
              <w:t xml:space="preserve"> </w:t>
            </w:r>
            <w:r>
              <w:rPr>
                <w:rFonts w:ascii="Times New Roman" w:hAnsi="Times New Roman" w:eastAsia="Times New Roman" w:cs="Times New Roman"/>
                <w:spacing w:val="10"/>
              </w:rPr>
              <w:t>5.</w:t>
            </w:r>
            <w:r>
              <w:rPr>
                <w:rFonts w:ascii="Times New Roman" w:hAnsi="Times New Roman" w:eastAsia="Times New Roman" w:cs="Times New Roman"/>
                <w:spacing w:val="-15"/>
              </w:rPr>
              <w:t xml:space="preserve"> </w:t>
            </w:r>
            <w:r>
              <w:rPr>
                <w:spacing w:val="10"/>
              </w:rPr>
              <w:t>使用范围超出标准规定范围或包括</w:t>
            </w:r>
            <w:r>
              <w:rPr>
                <w:spacing w:val="-33"/>
              </w:rPr>
              <w:t xml:space="preserve"> </w:t>
            </w:r>
            <w:r>
              <w:rPr>
                <w:rFonts w:ascii="Times New Roman" w:hAnsi="Times New Roman" w:eastAsia="Times New Roman" w:cs="Times New Roman"/>
              </w:rPr>
              <w:t>GB</w:t>
            </w:r>
            <w:r>
              <w:rPr>
                <w:rFonts w:ascii="Times New Roman" w:hAnsi="Times New Roman" w:eastAsia="Times New Roman" w:cs="Times New Roman"/>
                <w:spacing w:val="10"/>
              </w:rPr>
              <w:t>2760</w:t>
            </w:r>
            <w:r>
              <w:rPr>
                <w:rFonts w:ascii="Times New Roman" w:hAnsi="Times New Roman" w:eastAsia="Times New Roman" w:cs="Times New Roman"/>
                <w:spacing w:val="24"/>
                <w:w w:val="101"/>
              </w:rPr>
              <w:t xml:space="preserve"> </w:t>
            </w:r>
            <w:r>
              <w:rPr>
                <w:spacing w:val="10"/>
              </w:rPr>
              <w:t>规</w:t>
            </w:r>
            <w:r>
              <w:t xml:space="preserve"> </w:t>
            </w:r>
            <w:r>
              <w:rPr>
                <w:spacing w:val="10"/>
              </w:rPr>
              <w:t>定的不得添加食品用香料、香精的食品名单中的</w:t>
            </w:r>
            <w:r>
              <w:rPr>
                <w:spacing w:val="11"/>
              </w:rPr>
              <w:t xml:space="preserve"> </w:t>
            </w:r>
            <w:r>
              <w:rPr>
                <w:spacing w:val="5"/>
              </w:rPr>
              <w:t>食品类别。</w:t>
            </w:r>
          </w:p>
          <w:p>
            <w:pPr>
              <w:pStyle w:val="6"/>
              <w:spacing w:before="35" w:line="269" w:lineRule="auto"/>
              <w:ind w:left="121" w:right="105" w:hanging="8"/>
            </w:pPr>
            <w:r>
              <w:rPr>
                <w:rFonts w:ascii="Times New Roman" w:hAnsi="Times New Roman" w:eastAsia="Times New Roman" w:cs="Times New Roman"/>
                <w:spacing w:val="12"/>
              </w:rPr>
              <w:t>6.</w:t>
            </w:r>
            <w:r>
              <w:rPr>
                <w:spacing w:val="12"/>
              </w:rPr>
              <w:t>食品用香精的标签、说明书涉及疾病预防、治</w:t>
            </w:r>
            <w:r>
              <w:rPr>
                <w:spacing w:val="8"/>
              </w:rPr>
              <w:t xml:space="preserve"> </w:t>
            </w:r>
            <w:r>
              <w:rPr>
                <w:spacing w:val="7"/>
              </w:rPr>
              <w:t>疗功能、每日摄入量。</w:t>
            </w:r>
          </w:p>
        </w:tc>
        <w:tc>
          <w:tcPr>
            <w:tcW w:w="615"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8"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restart"/>
            <w:tcBorders>
              <w:bottom w:val="nil"/>
            </w:tcBorders>
            <w:vAlign w:val="top"/>
          </w:tcPr>
          <w:p>
            <w:pPr>
              <w:spacing w:line="285" w:lineRule="auto"/>
              <w:rPr>
                <w:rFonts w:ascii="Arial"/>
                <w:sz w:val="21"/>
              </w:rPr>
            </w:pPr>
          </w:p>
          <w:p>
            <w:pPr>
              <w:spacing w:line="286" w:lineRule="auto"/>
              <w:rPr>
                <w:rFonts w:ascii="Arial"/>
                <w:sz w:val="21"/>
              </w:rPr>
            </w:pPr>
          </w:p>
          <w:p>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638" w:type="dxa"/>
            <w:vMerge w:val="restart"/>
            <w:tcBorders>
              <w:bottom w:val="nil"/>
            </w:tcBorders>
            <w:vAlign w:val="top"/>
          </w:tcPr>
          <w:p>
            <w:pPr>
              <w:spacing w:line="264" w:lineRule="auto"/>
              <w:rPr>
                <w:rFonts w:ascii="Arial"/>
                <w:sz w:val="21"/>
              </w:rPr>
            </w:pPr>
          </w:p>
          <w:p>
            <w:pPr>
              <w:spacing w:line="264" w:lineRule="auto"/>
              <w:rPr>
                <w:rFonts w:ascii="Arial"/>
                <w:sz w:val="21"/>
              </w:rPr>
            </w:pPr>
          </w:p>
          <w:p>
            <w:pPr>
              <w:pStyle w:val="6"/>
              <w:spacing w:before="65" w:line="230" w:lineRule="auto"/>
              <w:ind w:left="118"/>
            </w:pPr>
            <w:r>
              <w:rPr>
                <w:spacing w:val="1"/>
              </w:rPr>
              <w:t>其他</w:t>
            </w:r>
          </w:p>
        </w:tc>
        <w:tc>
          <w:tcPr>
            <w:tcW w:w="5293" w:type="dxa"/>
            <w:vMerge w:val="restart"/>
            <w:tcBorders>
              <w:bottom w:val="nil"/>
            </w:tcBorders>
            <w:vAlign w:val="top"/>
          </w:tcPr>
          <w:p>
            <w:pPr>
              <w:pStyle w:val="6"/>
              <w:spacing w:before="94" w:line="289" w:lineRule="auto"/>
              <w:ind w:left="118" w:right="106" w:firstLine="9"/>
              <w:jc w:val="both"/>
            </w:pPr>
            <w:r>
              <w:rPr>
                <w:rFonts w:ascii="Times New Roman" w:hAnsi="Times New Roman" w:eastAsia="Times New Roman" w:cs="Times New Roman"/>
                <w:spacing w:val="12"/>
              </w:rPr>
              <w:t>1.</w:t>
            </w:r>
            <w:r>
              <w:rPr>
                <w:spacing w:val="12"/>
              </w:rPr>
              <w:t>应当建立并执行日管控、周排查、月调度等风险管控</w:t>
            </w:r>
            <w:r>
              <w:rPr>
                <w:spacing w:val="3"/>
              </w:rPr>
              <w:t xml:space="preserve"> </w:t>
            </w:r>
            <w:r>
              <w:rPr>
                <w:spacing w:val="11"/>
              </w:rPr>
              <w:t>制度，收集、分析食品安全风险信息，评价风险隐</w:t>
            </w:r>
            <w:r>
              <w:rPr>
                <w:spacing w:val="10"/>
              </w:rPr>
              <w:t>患并</w:t>
            </w:r>
            <w:r>
              <w:t xml:space="preserve"> </w:t>
            </w:r>
            <w:r>
              <w:rPr>
                <w:spacing w:val="6"/>
              </w:rPr>
              <w:t>进行相应处置。</w:t>
            </w:r>
          </w:p>
        </w:tc>
        <w:tc>
          <w:tcPr>
            <w:tcW w:w="4648" w:type="dxa"/>
            <w:vAlign w:val="top"/>
          </w:tcPr>
          <w:p>
            <w:pPr>
              <w:pStyle w:val="6"/>
              <w:spacing w:before="71" w:line="229" w:lineRule="auto"/>
              <w:ind w:left="123"/>
            </w:pPr>
            <w:r>
              <w:rPr>
                <w:spacing w:val="5"/>
              </w:rPr>
              <w:t>符合规定要求。</w:t>
            </w:r>
          </w:p>
        </w:tc>
        <w:tc>
          <w:tcPr>
            <w:tcW w:w="615" w:type="dxa"/>
            <w:vAlign w:val="top"/>
          </w:tcPr>
          <w:p>
            <w:pPr>
              <w:spacing w:before="106"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71" w:line="229" w:lineRule="auto"/>
              <w:ind w:left="119"/>
            </w:pPr>
            <w:r>
              <w:rPr>
                <w:spacing w:val="7"/>
              </w:rPr>
              <w:t>制度内容或执行略有不足。</w:t>
            </w:r>
          </w:p>
        </w:tc>
        <w:tc>
          <w:tcPr>
            <w:tcW w:w="615" w:type="dxa"/>
            <w:vAlign w:val="top"/>
          </w:tcPr>
          <w:p>
            <w:pPr>
              <w:spacing w:before="107"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9" w:line="229" w:lineRule="auto"/>
              <w:ind w:left="119"/>
            </w:pPr>
            <w:r>
              <w:rPr>
                <w:spacing w:val="7"/>
              </w:rPr>
              <w:t>制度内容或执行严重不足。</w:t>
            </w:r>
          </w:p>
        </w:tc>
        <w:tc>
          <w:tcPr>
            <w:tcW w:w="615" w:type="dxa"/>
            <w:vAlign w:val="top"/>
          </w:tcPr>
          <w:p>
            <w:pPr>
              <w:spacing w:before="105"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Align w:val="top"/>
          </w:tcPr>
          <w:p>
            <w:pPr>
              <w:pStyle w:val="6"/>
              <w:spacing w:before="69" w:line="229" w:lineRule="auto"/>
              <w:ind w:left="107"/>
            </w:pPr>
            <w:r>
              <w:rPr>
                <w:rFonts w:ascii="Times New Roman" w:hAnsi="Times New Roman" w:eastAsia="Times New Roman" w:cs="Times New Roman"/>
                <w:spacing w:val="13"/>
              </w:rPr>
              <w:t>2.</w:t>
            </w:r>
            <w:r>
              <w:rPr>
                <w:spacing w:val="13"/>
              </w:rPr>
              <w:t>应当建立并执行食品安全事故处置方案，规定食</w:t>
            </w:r>
            <w:r>
              <w:rPr>
                <w:spacing w:val="12"/>
              </w:rPr>
              <w:t>品安</w:t>
            </w:r>
          </w:p>
        </w:tc>
        <w:tc>
          <w:tcPr>
            <w:tcW w:w="4648" w:type="dxa"/>
            <w:vAlign w:val="top"/>
          </w:tcPr>
          <w:p>
            <w:pPr>
              <w:pStyle w:val="6"/>
              <w:spacing w:before="70" w:line="229" w:lineRule="auto"/>
              <w:ind w:left="123"/>
            </w:pPr>
            <w:r>
              <w:rPr>
                <w:spacing w:val="5"/>
              </w:rPr>
              <w:t>符合规定要求。</w:t>
            </w:r>
          </w:p>
        </w:tc>
        <w:tc>
          <w:tcPr>
            <w:tcW w:w="615" w:type="dxa"/>
            <w:vAlign w:val="top"/>
          </w:tcPr>
          <w:p>
            <w:pPr>
              <w:spacing w:before="10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3" w:type="default"/>
          <w:pgSz w:w="16839" w:h="11906"/>
          <w:pgMar w:top="1012" w:right="786" w:bottom="1168" w:left="1038" w:header="0" w:footer="994" w:gutter="0"/>
          <w:cols w:space="720" w:num="1"/>
        </w:sectPr>
      </w:pPr>
    </w:p>
    <w:p>
      <w:pPr>
        <w:spacing w:before="21"/>
      </w:pPr>
    </w:p>
    <w:p>
      <w:pPr>
        <w:spacing w:before="21"/>
      </w:pPr>
    </w:p>
    <w:p>
      <w:pPr>
        <w:spacing w:before="21"/>
      </w:pPr>
    </w:p>
    <w:tbl>
      <w:tblPr>
        <w:tblStyle w:val="5"/>
        <w:tblW w:w="15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638"/>
        <w:gridCol w:w="5293"/>
        <w:gridCol w:w="4648"/>
        <w:gridCol w:w="615"/>
        <w:gridCol w:w="1394"/>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01" w:type="dxa"/>
            <w:textDirection w:val="tbRlV"/>
            <w:vAlign w:val="top"/>
          </w:tcPr>
          <w:p>
            <w:pPr>
              <w:spacing w:before="194" w:line="216" w:lineRule="auto"/>
              <w:ind w:left="63"/>
              <w:rPr>
                <w:rFonts w:ascii="黑体" w:hAnsi="黑体" w:eastAsia="黑体" w:cs="黑体"/>
                <w:sz w:val="20"/>
                <w:szCs w:val="20"/>
              </w:rPr>
            </w:pPr>
            <w:r>
              <w:rPr>
                <w:rFonts w:ascii="黑体" w:hAnsi="黑体" w:eastAsia="黑体" w:cs="黑体"/>
                <w:spacing w:val="12"/>
                <w:sz w:val="20"/>
                <w:szCs w:val="20"/>
              </w:rPr>
              <w:t>序</w:t>
            </w:r>
            <w:r>
              <w:rPr>
                <w:rFonts w:ascii="黑体" w:hAnsi="黑体" w:eastAsia="黑体" w:cs="黑体"/>
                <w:spacing w:val="14"/>
                <w:sz w:val="20"/>
                <w:szCs w:val="20"/>
              </w:rPr>
              <w:t xml:space="preserve"> </w:t>
            </w:r>
            <w:r>
              <w:rPr>
                <w:rFonts w:ascii="黑体" w:hAnsi="黑体" w:eastAsia="黑体" w:cs="黑体"/>
                <w:spacing w:val="12"/>
                <w:sz w:val="20"/>
                <w:szCs w:val="20"/>
              </w:rPr>
              <w:t>号</w:t>
            </w:r>
          </w:p>
        </w:tc>
        <w:tc>
          <w:tcPr>
            <w:tcW w:w="638" w:type="dxa"/>
            <w:vAlign w:val="top"/>
          </w:tcPr>
          <w:p>
            <w:pPr>
              <w:spacing w:before="63" w:line="271" w:lineRule="auto"/>
              <w:ind w:left="110" w:right="11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6" w:line="231" w:lineRule="auto"/>
              <w:ind w:left="2229"/>
              <w:rPr>
                <w:rFonts w:ascii="黑体" w:hAnsi="黑体" w:eastAsia="黑体" w:cs="黑体"/>
                <w:sz w:val="20"/>
                <w:szCs w:val="20"/>
              </w:rPr>
            </w:pPr>
            <w:r>
              <w:rPr>
                <w:rFonts w:ascii="黑体" w:hAnsi="黑体" w:eastAsia="黑体" w:cs="黑体"/>
                <w:spacing w:val="7"/>
                <w:sz w:val="20"/>
                <w:szCs w:val="20"/>
              </w:rPr>
              <w:t>核查内容</w:t>
            </w:r>
          </w:p>
        </w:tc>
        <w:tc>
          <w:tcPr>
            <w:tcW w:w="5263" w:type="dxa"/>
            <w:gridSpan w:val="2"/>
            <w:vAlign w:val="top"/>
          </w:tcPr>
          <w:p>
            <w:pPr>
              <w:spacing w:before="226" w:line="230" w:lineRule="auto"/>
              <w:ind w:left="2216"/>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6" w:line="230" w:lineRule="auto"/>
              <w:ind w:left="281"/>
              <w:rPr>
                <w:rFonts w:ascii="黑体" w:hAnsi="黑体" w:eastAsia="黑体" w:cs="黑体"/>
                <w:sz w:val="20"/>
                <w:szCs w:val="20"/>
              </w:rPr>
            </w:pPr>
            <w:r>
              <w:rPr>
                <w:rFonts w:ascii="黑体" w:hAnsi="黑体" w:eastAsia="黑体" w:cs="黑体"/>
                <w:spacing w:val="7"/>
                <w:sz w:val="20"/>
                <w:szCs w:val="20"/>
              </w:rPr>
              <w:t>核查记录</w:t>
            </w:r>
          </w:p>
        </w:tc>
        <w:tc>
          <w:tcPr>
            <w:tcW w:w="1819" w:type="dxa"/>
            <w:vAlign w:val="top"/>
          </w:tcPr>
          <w:p>
            <w:pPr>
              <w:spacing w:before="227" w:line="231" w:lineRule="auto"/>
              <w:ind w:left="493"/>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restart"/>
            <w:tcBorders>
              <w:bottom w:val="nil"/>
            </w:tcBorders>
            <w:vAlign w:val="top"/>
          </w:tcPr>
          <w:p>
            <w:pPr>
              <w:rPr>
                <w:rFonts w:ascii="Arial"/>
                <w:sz w:val="21"/>
              </w:rPr>
            </w:pPr>
          </w:p>
        </w:tc>
        <w:tc>
          <w:tcPr>
            <w:tcW w:w="638" w:type="dxa"/>
            <w:vMerge w:val="restart"/>
            <w:tcBorders>
              <w:bottom w:val="nil"/>
            </w:tcBorders>
            <w:vAlign w:val="top"/>
          </w:tcPr>
          <w:p>
            <w:pPr>
              <w:rPr>
                <w:rFonts w:ascii="Arial"/>
                <w:sz w:val="21"/>
              </w:rPr>
            </w:pPr>
          </w:p>
        </w:tc>
        <w:tc>
          <w:tcPr>
            <w:tcW w:w="5293" w:type="dxa"/>
            <w:vMerge w:val="restart"/>
            <w:tcBorders>
              <w:bottom w:val="nil"/>
            </w:tcBorders>
            <w:vAlign w:val="top"/>
          </w:tcPr>
          <w:p>
            <w:pPr>
              <w:pStyle w:val="6"/>
              <w:spacing w:before="60" w:line="284" w:lineRule="auto"/>
              <w:ind w:left="117" w:right="106" w:firstLine="5"/>
            </w:pPr>
            <w:r>
              <w:rPr>
                <w:spacing w:val="10"/>
              </w:rPr>
              <w:t>全事故处置措施及向事故发生地县级市场监督管理部门</w:t>
            </w:r>
            <w:r>
              <w:rPr>
                <w:spacing w:val="18"/>
              </w:rPr>
              <w:t xml:space="preserve"> </w:t>
            </w:r>
            <w:r>
              <w:rPr>
                <w:spacing w:val="7"/>
              </w:rPr>
              <w:t>和卫生行政部门报告的要求。</w:t>
            </w:r>
          </w:p>
        </w:tc>
        <w:tc>
          <w:tcPr>
            <w:tcW w:w="4648" w:type="dxa"/>
            <w:vAlign w:val="top"/>
          </w:tcPr>
          <w:p>
            <w:pPr>
              <w:pStyle w:val="6"/>
              <w:spacing w:before="67" w:line="229" w:lineRule="auto"/>
              <w:ind w:left="123"/>
            </w:pPr>
            <w:r>
              <w:rPr>
                <w:spacing w:val="7"/>
              </w:rPr>
              <w:t>方案内容或执行略有不足。</w:t>
            </w:r>
          </w:p>
        </w:tc>
        <w:tc>
          <w:tcPr>
            <w:tcW w:w="615" w:type="dxa"/>
            <w:vAlign w:val="top"/>
          </w:tcPr>
          <w:p>
            <w:pPr>
              <w:spacing w:before="103"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6" w:line="229" w:lineRule="auto"/>
              <w:ind w:left="123"/>
            </w:pPr>
            <w:r>
              <w:rPr>
                <w:spacing w:val="7"/>
              </w:rPr>
              <w:t>方案内容或执行严重不足。</w:t>
            </w:r>
          </w:p>
        </w:tc>
        <w:tc>
          <w:tcPr>
            <w:tcW w:w="615" w:type="dxa"/>
            <w:vAlign w:val="top"/>
          </w:tcPr>
          <w:p>
            <w:pPr>
              <w:spacing w:before="102"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pStyle w:val="6"/>
              <w:spacing w:before="49" w:line="247" w:lineRule="auto"/>
              <w:ind w:left="113" w:right="106" w:hanging="2"/>
              <w:jc w:val="both"/>
            </w:pPr>
            <w:r>
              <w:rPr>
                <w:rFonts w:ascii="Times New Roman" w:hAnsi="Times New Roman" w:eastAsia="Times New Roman" w:cs="Times New Roman"/>
                <w:spacing w:val="12"/>
              </w:rPr>
              <w:t>3.</w:t>
            </w:r>
            <w:r>
              <w:rPr>
                <w:spacing w:val="12"/>
              </w:rPr>
              <w:t>应当建立并执行研发管理制度。企业应具备相应的配</w:t>
            </w:r>
            <w:r>
              <w:rPr>
                <w:spacing w:val="18"/>
              </w:rPr>
              <w:t xml:space="preserve"> </w:t>
            </w:r>
            <w:r>
              <w:rPr>
                <w:spacing w:val="11"/>
              </w:rPr>
              <w:t>方研发能力，建立并执行产品配方管理制度配备相应的</w:t>
            </w:r>
            <w:r>
              <w:rPr>
                <w:spacing w:val="2"/>
              </w:rPr>
              <w:t xml:space="preserve"> </w:t>
            </w:r>
            <w:r>
              <w:rPr>
                <w:spacing w:val="8"/>
              </w:rPr>
              <w:t>专、兼职研发人员，或者委托研发机构研发。</w:t>
            </w:r>
          </w:p>
          <w:p>
            <w:pPr>
              <w:pStyle w:val="6"/>
              <w:spacing w:before="36" w:line="241" w:lineRule="auto"/>
              <w:ind w:left="124" w:right="106" w:hanging="7"/>
            </w:pPr>
            <w:r>
              <w:rPr>
                <w:spacing w:val="11"/>
              </w:rPr>
              <w:t>原料、辅料、配方应符合食品安全国家标准、国务院卫</w:t>
            </w:r>
            <w:r>
              <w:t xml:space="preserve"> </w:t>
            </w:r>
            <w:r>
              <w:rPr>
                <w:spacing w:val="6"/>
              </w:rPr>
              <w:t>生行政部门公告等规定。</w:t>
            </w:r>
          </w:p>
          <w:p>
            <w:pPr>
              <w:pStyle w:val="6"/>
              <w:spacing w:before="51" w:line="285" w:lineRule="auto"/>
              <w:ind w:left="136" w:right="106" w:hanging="22"/>
            </w:pPr>
            <w:r>
              <w:rPr>
                <w:spacing w:val="11"/>
              </w:rPr>
              <w:t>食品用香精生产过程中添加的食品添加剂不应在最终食</w:t>
            </w:r>
            <w:r>
              <w:rPr>
                <w:spacing w:val="1"/>
              </w:rPr>
              <w:t xml:space="preserve"> </w:t>
            </w:r>
            <w:r>
              <w:rPr>
                <w:spacing w:val="4"/>
              </w:rPr>
              <w:t>品中发挥功能作用。</w:t>
            </w:r>
          </w:p>
          <w:p>
            <w:pPr>
              <w:pStyle w:val="6"/>
              <w:spacing w:before="33" w:line="269" w:lineRule="auto"/>
              <w:ind w:left="114" w:right="106" w:firstLine="5"/>
            </w:pPr>
            <w:r>
              <w:rPr>
                <w:spacing w:val="11"/>
              </w:rPr>
              <w:t>配方研发过程中产生的数据、文件应妥善保管</w:t>
            </w:r>
            <w:r>
              <w:rPr>
                <w:spacing w:val="10"/>
              </w:rPr>
              <w:t>，保留完</w:t>
            </w:r>
            <w:r>
              <w:t xml:space="preserve"> </w:t>
            </w:r>
            <w:r>
              <w:rPr>
                <w:spacing w:val="-2"/>
              </w:rPr>
              <w:t>整。</w:t>
            </w:r>
          </w:p>
        </w:tc>
        <w:tc>
          <w:tcPr>
            <w:tcW w:w="4648" w:type="dxa"/>
            <w:vAlign w:val="top"/>
          </w:tcPr>
          <w:p>
            <w:pPr>
              <w:pStyle w:val="6"/>
              <w:spacing w:before="68" w:line="224" w:lineRule="auto"/>
              <w:ind w:left="118"/>
            </w:pPr>
            <w:r>
              <w:rPr>
                <w:spacing w:val="6"/>
              </w:rPr>
              <w:t>符合规定要求。</w:t>
            </w:r>
          </w:p>
        </w:tc>
        <w:tc>
          <w:tcPr>
            <w:tcW w:w="615" w:type="dxa"/>
            <w:vAlign w:val="top"/>
          </w:tcPr>
          <w:p>
            <w:pPr>
              <w:spacing w:before="103"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8" w:line="224" w:lineRule="auto"/>
              <w:ind w:left="119"/>
            </w:pPr>
            <w:r>
              <w:rPr>
                <w:spacing w:val="7"/>
              </w:rPr>
              <w:t>制度内容或执行略有不足。</w:t>
            </w:r>
          </w:p>
        </w:tc>
        <w:tc>
          <w:tcPr>
            <w:tcW w:w="615" w:type="dxa"/>
            <w:vAlign w:val="top"/>
          </w:tcPr>
          <w:p>
            <w:pPr>
              <w:spacing w:before="104"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4" w:lineRule="auto"/>
              <w:ind w:left="119"/>
            </w:pPr>
            <w:r>
              <w:rPr>
                <w:spacing w:val="7"/>
              </w:rPr>
              <w:t>制度内容或执行严重不足。</w:t>
            </w:r>
          </w:p>
        </w:tc>
        <w:tc>
          <w:tcPr>
            <w:tcW w:w="615"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57"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pStyle w:val="6"/>
              <w:spacing w:before="258" w:line="286" w:lineRule="auto"/>
              <w:ind w:left="116" w:right="106" w:hanging="10"/>
            </w:pPr>
            <w:r>
              <w:rPr>
                <w:rFonts w:ascii="Times New Roman" w:hAnsi="Times New Roman" w:eastAsia="Times New Roman" w:cs="Times New Roman"/>
                <w:spacing w:val="13"/>
              </w:rPr>
              <w:t>4.</w:t>
            </w:r>
            <w:r>
              <w:rPr>
                <w:spacing w:val="13"/>
              </w:rPr>
              <w:t>应当建立并执行文件、记录管理制度，确保文件的有</w:t>
            </w:r>
            <w:r>
              <w:t xml:space="preserve"> </w:t>
            </w:r>
            <w:r>
              <w:rPr>
                <w:spacing w:val="8"/>
              </w:rPr>
              <w:t>效使用以及各类记录的完整、真实、准确和可追溯。</w:t>
            </w:r>
          </w:p>
        </w:tc>
        <w:tc>
          <w:tcPr>
            <w:tcW w:w="4648" w:type="dxa"/>
            <w:vAlign w:val="top"/>
          </w:tcPr>
          <w:p>
            <w:pPr>
              <w:pStyle w:val="6"/>
              <w:spacing w:before="70" w:line="224" w:lineRule="auto"/>
              <w:ind w:left="118"/>
            </w:pPr>
            <w:r>
              <w:rPr>
                <w:spacing w:val="6"/>
              </w:rPr>
              <w:t>符合规定要求。</w:t>
            </w:r>
          </w:p>
        </w:tc>
        <w:tc>
          <w:tcPr>
            <w:tcW w:w="615" w:type="dxa"/>
            <w:vAlign w:val="top"/>
          </w:tcPr>
          <w:p>
            <w:pPr>
              <w:spacing w:before="10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71" w:line="224" w:lineRule="auto"/>
              <w:ind w:left="119"/>
            </w:pPr>
            <w:r>
              <w:rPr>
                <w:spacing w:val="7"/>
              </w:rPr>
              <w:t>制度内容或执行略有不足。</w:t>
            </w:r>
          </w:p>
        </w:tc>
        <w:tc>
          <w:tcPr>
            <w:tcW w:w="615" w:type="dxa"/>
            <w:vAlign w:val="top"/>
          </w:tcPr>
          <w:p>
            <w:pPr>
              <w:spacing w:before="106"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71" w:line="224" w:lineRule="auto"/>
              <w:ind w:left="119"/>
            </w:pPr>
            <w:r>
              <w:rPr>
                <w:spacing w:val="7"/>
              </w:rPr>
              <w:t>制度内容或执行严重不足。</w:t>
            </w:r>
          </w:p>
        </w:tc>
        <w:tc>
          <w:tcPr>
            <w:tcW w:w="615" w:type="dxa"/>
            <w:vAlign w:val="top"/>
          </w:tcPr>
          <w:p>
            <w:pPr>
              <w:spacing w:before="106"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restart"/>
            <w:tcBorders>
              <w:bottom w:val="nil"/>
            </w:tcBorders>
            <w:vAlign w:val="top"/>
          </w:tcPr>
          <w:p>
            <w:pPr>
              <w:pStyle w:val="6"/>
              <w:spacing w:before="237" w:line="285" w:lineRule="auto"/>
              <w:ind w:left="109" w:right="251" w:firstLine="3"/>
            </w:pPr>
            <w:r>
              <w:rPr>
                <w:rFonts w:ascii="Times New Roman" w:hAnsi="Times New Roman" w:eastAsia="Times New Roman" w:cs="Times New Roman"/>
                <w:spacing w:val="7"/>
              </w:rPr>
              <w:t>5.</w:t>
            </w:r>
            <w:r>
              <w:rPr>
                <w:spacing w:val="7"/>
              </w:rPr>
              <w:t>应当按照相关法律法规、食品安全国家标准</w:t>
            </w:r>
            <w:r>
              <w:rPr>
                <w:spacing w:val="6"/>
              </w:rPr>
              <w:t>等规定，</w:t>
            </w:r>
            <w:r>
              <w:t xml:space="preserve"> </w:t>
            </w:r>
            <w:r>
              <w:rPr>
                <w:spacing w:val="9"/>
              </w:rPr>
              <w:t>建立并执行其他保障食品安全的管理制度。</w:t>
            </w:r>
          </w:p>
        </w:tc>
        <w:tc>
          <w:tcPr>
            <w:tcW w:w="4648" w:type="dxa"/>
            <w:vAlign w:val="top"/>
          </w:tcPr>
          <w:p>
            <w:pPr>
              <w:pStyle w:val="6"/>
              <w:spacing w:before="64" w:line="224" w:lineRule="auto"/>
              <w:ind w:left="118"/>
            </w:pPr>
            <w:r>
              <w:rPr>
                <w:spacing w:val="6"/>
              </w:rPr>
              <w:t>符合规定要求。</w:t>
            </w:r>
          </w:p>
        </w:tc>
        <w:tc>
          <w:tcPr>
            <w:tcW w:w="615" w:type="dxa"/>
            <w:vAlign w:val="top"/>
          </w:tcPr>
          <w:p>
            <w:pPr>
              <w:spacing w:before="99"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01" w:type="dxa"/>
            <w:vMerge w:val="continue"/>
            <w:tcBorders>
              <w:top w:val="nil"/>
              <w:bottom w:val="nil"/>
            </w:tcBorders>
            <w:vAlign w:val="top"/>
          </w:tcPr>
          <w:p>
            <w:pPr>
              <w:rPr>
                <w:rFonts w:ascii="Arial"/>
                <w:sz w:val="21"/>
              </w:rPr>
            </w:pPr>
          </w:p>
        </w:tc>
        <w:tc>
          <w:tcPr>
            <w:tcW w:w="638"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48" w:type="dxa"/>
            <w:vAlign w:val="top"/>
          </w:tcPr>
          <w:p>
            <w:pPr>
              <w:pStyle w:val="6"/>
              <w:spacing w:before="64" w:line="224" w:lineRule="auto"/>
              <w:ind w:left="119"/>
            </w:pPr>
            <w:r>
              <w:rPr>
                <w:spacing w:val="7"/>
              </w:rPr>
              <w:t>制度内容或执行略有不足。</w:t>
            </w:r>
          </w:p>
        </w:tc>
        <w:tc>
          <w:tcPr>
            <w:tcW w:w="615" w:type="dxa"/>
            <w:vAlign w:val="top"/>
          </w:tcPr>
          <w:p>
            <w:pPr>
              <w:spacing w:before="100" w:line="195" w:lineRule="auto"/>
              <w:ind w:left="2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01" w:type="dxa"/>
            <w:vMerge w:val="continue"/>
            <w:tcBorders>
              <w:top w:val="nil"/>
            </w:tcBorders>
            <w:vAlign w:val="top"/>
          </w:tcPr>
          <w:p>
            <w:pPr>
              <w:rPr>
                <w:rFonts w:ascii="Arial"/>
                <w:sz w:val="21"/>
              </w:rPr>
            </w:pPr>
          </w:p>
        </w:tc>
        <w:tc>
          <w:tcPr>
            <w:tcW w:w="638"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48" w:type="dxa"/>
            <w:vAlign w:val="top"/>
          </w:tcPr>
          <w:p>
            <w:pPr>
              <w:pStyle w:val="6"/>
              <w:spacing w:before="64" w:line="224" w:lineRule="auto"/>
              <w:ind w:left="119"/>
            </w:pPr>
            <w:r>
              <w:rPr>
                <w:spacing w:val="7"/>
              </w:rPr>
              <w:t>制度内容或执行严重不足。</w:t>
            </w:r>
          </w:p>
        </w:tc>
        <w:tc>
          <w:tcPr>
            <w:tcW w:w="615" w:type="dxa"/>
            <w:vAlign w:val="top"/>
          </w:tcPr>
          <w:p>
            <w:pPr>
              <w:spacing w:before="99"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4" w:type="default"/>
          <w:pgSz w:w="16839" w:h="11906"/>
          <w:pgMar w:top="1012" w:right="786" w:bottom="1168" w:left="1038" w:header="0" w:footer="994"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6" w:lineRule="auto"/>
        <w:ind w:left="4997"/>
        <w:outlineLvl w:val="0"/>
        <w:rPr>
          <w:rFonts w:ascii="黑体" w:hAnsi="黑体" w:eastAsia="黑体" w:cs="黑体"/>
          <w:sz w:val="31"/>
          <w:szCs w:val="31"/>
        </w:rPr>
      </w:pPr>
      <w:r>
        <w:rPr>
          <w:rFonts w:ascii="黑体" w:hAnsi="黑体" w:eastAsia="黑体" w:cs="黑体"/>
          <w:spacing w:val="4"/>
          <w:sz w:val="31"/>
          <w:szCs w:val="31"/>
        </w:rPr>
        <w:t>六、试制产品检验合格报告（共</w:t>
      </w:r>
      <w:r>
        <w:rPr>
          <w:rFonts w:ascii="黑体" w:hAnsi="黑体" w:eastAsia="黑体" w:cs="黑体"/>
          <w:spacing w:val="-33"/>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23"/>
          <w:sz w:val="31"/>
          <w:szCs w:val="31"/>
        </w:rPr>
        <w:t xml:space="preserve"> </w:t>
      </w:r>
      <w:r>
        <w:rPr>
          <w:rFonts w:ascii="黑体" w:hAnsi="黑体" w:eastAsia="黑体" w:cs="黑体"/>
          <w:spacing w:val="4"/>
          <w:sz w:val="31"/>
          <w:szCs w:val="31"/>
        </w:rPr>
        <w:t>分）</w:t>
      </w:r>
    </w:p>
    <w:p>
      <w:pPr>
        <w:spacing w:line="136" w:lineRule="exact"/>
      </w:pPr>
    </w:p>
    <w:tbl>
      <w:tblPr>
        <w:tblStyle w:val="5"/>
        <w:tblW w:w="15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660"/>
        <w:gridCol w:w="5293"/>
        <w:gridCol w:w="4633"/>
        <w:gridCol w:w="615"/>
        <w:gridCol w:w="1394"/>
        <w:gridCol w:w="18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90" w:type="dxa"/>
            <w:vAlign w:val="top"/>
          </w:tcPr>
          <w:p>
            <w:pPr>
              <w:spacing w:before="225" w:line="231" w:lineRule="auto"/>
              <w:ind w:left="89"/>
              <w:rPr>
                <w:rFonts w:ascii="黑体" w:hAnsi="黑体" w:eastAsia="黑体" w:cs="黑体"/>
                <w:sz w:val="20"/>
                <w:szCs w:val="20"/>
              </w:rPr>
            </w:pPr>
            <w:r>
              <w:rPr>
                <w:rFonts w:ascii="黑体" w:hAnsi="黑体" w:eastAsia="黑体" w:cs="黑体"/>
                <w:spacing w:val="4"/>
                <w:sz w:val="20"/>
                <w:szCs w:val="20"/>
              </w:rPr>
              <w:t>序号</w:t>
            </w:r>
          </w:p>
        </w:tc>
        <w:tc>
          <w:tcPr>
            <w:tcW w:w="660" w:type="dxa"/>
            <w:vAlign w:val="top"/>
          </w:tcPr>
          <w:p>
            <w:pPr>
              <w:spacing w:before="62" w:line="271" w:lineRule="auto"/>
              <w:ind w:left="122" w:right="122" w:hanging="1"/>
              <w:rPr>
                <w:rFonts w:ascii="黑体" w:hAnsi="黑体" w:eastAsia="黑体" w:cs="黑体"/>
                <w:sz w:val="20"/>
                <w:szCs w:val="20"/>
              </w:rPr>
            </w:pPr>
            <w:r>
              <w:rPr>
                <w:rFonts w:ascii="黑体" w:hAnsi="黑体" w:eastAsia="黑体" w:cs="黑体"/>
                <w:spacing w:val="5"/>
                <w:sz w:val="20"/>
                <w:szCs w:val="20"/>
              </w:rPr>
              <w:t>核查</w:t>
            </w:r>
            <w:r>
              <w:rPr>
                <w:rFonts w:ascii="黑体" w:hAnsi="黑体" w:eastAsia="黑体" w:cs="黑体"/>
                <w:sz w:val="20"/>
                <w:szCs w:val="20"/>
              </w:rPr>
              <w:t xml:space="preserve"> </w:t>
            </w:r>
            <w:r>
              <w:rPr>
                <w:rFonts w:ascii="黑体" w:hAnsi="黑体" w:eastAsia="黑体" w:cs="黑体"/>
                <w:spacing w:val="4"/>
                <w:sz w:val="20"/>
                <w:szCs w:val="20"/>
              </w:rPr>
              <w:t>项目</w:t>
            </w:r>
          </w:p>
        </w:tc>
        <w:tc>
          <w:tcPr>
            <w:tcW w:w="5293" w:type="dxa"/>
            <w:vAlign w:val="top"/>
          </w:tcPr>
          <w:p>
            <w:pPr>
              <w:spacing w:before="225" w:line="231" w:lineRule="auto"/>
              <w:ind w:left="2228"/>
              <w:rPr>
                <w:rFonts w:ascii="黑体" w:hAnsi="黑体" w:eastAsia="黑体" w:cs="黑体"/>
                <w:sz w:val="20"/>
                <w:szCs w:val="20"/>
              </w:rPr>
            </w:pPr>
            <w:r>
              <w:rPr>
                <w:rFonts w:ascii="黑体" w:hAnsi="黑体" w:eastAsia="黑体" w:cs="黑体"/>
                <w:spacing w:val="7"/>
                <w:sz w:val="20"/>
                <w:szCs w:val="20"/>
              </w:rPr>
              <w:t>核查内容</w:t>
            </w:r>
          </w:p>
        </w:tc>
        <w:tc>
          <w:tcPr>
            <w:tcW w:w="5248" w:type="dxa"/>
            <w:gridSpan w:val="2"/>
            <w:vAlign w:val="top"/>
          </w:tcPr>
          <w:p>
            <w:pPr>
              <w:spacing w:before="225" w:line="230" w:lineRule="auto"/>
              <w:ind w:left="2209"/>
              <w:rPr>
                <w:rFonts w:ascii="黑体" w:hAnsi="黑体" w:eastAsia="黑体" w:cs="黑体"/>
                <w:sz w:val="20"/>
                <w:szCs w:val="20"/>
              </w:rPr>
            </w:pPr>
            <w:r>
              <w:rPr>
                <w:rFonts w:ascii="黑体" w:hAnsi="黑体" w:eastAsia="黑体" w:cs="黑体"/>
                <w:spacing w:val="7"/>
                <w:sz w:val="20"/>
                <w:szCs w:val="20"/>
              </w:rPr>
              <w:t>评分标准</w:t>
            </w:r>
          </w:p>
        </w:tc>
        <w:tc>
          <w:tcPr>
            <w:tcW w:w="1394" w:type="dxa"/>
            <w:vAlign w:val="top"/>
          </w:tcPr>
          <w:p>
            <w:pPr>
              <w:spacing w:before="225" w:line="230" w:lineRule="auto"/>
              <w:ind w:left="282"/>
              <w:rPr>
                <w:rFonts w:ascii="黑体" w:hAnsi="黑体" w:eastAsia="黑体" w:cs="黑体"/>
                <w:sz w:val="20"/>
                <w:szCs w:val="20"/>
              </w:rPr>
            </w:pPr>
            <w:r>
              <w:rPr>
                <w:rFonts w:ascii="黑体" w:hAnsi="黑体" w:eastAsia="黑体" w:cs="黑体"/>
                <w:spacing w:val="7"/>
                <w:sz w:val="20"/>
                <w:szCs w:val="20"/>
              </w:rPr>
              <w:t>核查记录</w:t>
            </w:r>
          </w:p>
        </w:tc>
        <w:tc>
          <w:tcPr>
            <w:tcW w:w="1834" w:type="dxa"/>
            <w:vAlign w:val="top"/>
          </w:tcPr>
          <w:p>
            <w:pPr>
              <w:spacing w:before="225" w:line="231" w:lineRule="auto"/>
              <w:ind w:left="501"/>
              <w:rPr>
                <w:rFonts w:ascii="黑体" w:hAnsi="黑体" w:eastAsia="黑体" w:cs="黑体"/>
                <w:sz w:val="20"/>
                <w:szCs w:val="20"/>
              </w:rPr>
            </w:pPr>
            <w:r>
              <w:rPr>
                <w:rFonts w:ascii="黑体" w:hAnsi="黑体" w:eastAsia="黑体" w:cs="黑体"/>
                <w:spacing w:val="7"/>
                <w:sz w:val="20"/>
                <w:szCs w:val="20"/>
              </w:rPr>
              <w:t>核查结果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restart"/>
            <w:tcBorders>
              <w:bottom w:val="nil"/>
            </w:tcBorders>
            <w:vAlign w:val="top"/>
          </w:tcPr>
          <w:p>
            <w:pPr>
              <w:spacing w:line="440" w:lineRule="auto"/>
              <w:rPr>
                <w:rFonts w:ascii="Arial"/>
                <w:sz w:val="21"/>
              </w:rPr>
            </w:pPr>
          </w:p>
          <w:p>
            <w:pPr>
              <w:spacing w:before="58" w:line="195" w:lineRule="auto"/>
              <w:ind w:left="1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660" w:type="dxa"/>
            <w:vMerge w:val="restart"/>
            <w:tcBorders>
              <w:bottom w:val="nil"/>
            </w:tcBorders>
            <w:vAlign w:val="top"/>
          </w:tcPr>
          <w:p>
            <w:pPr>
              <w:pStyle w:val="6"/>
              <w:spacing w:before="45" w:line="225" w:lineRule="auto"/>
              <w:ind w:left="16"/>
            </w:pPr>
            <w:r>
              <w:rPr>
                <w:spacing w:val="7"/>
              </w:rPr>
              <w:t>试制产</w:t>
            </w:r>
          </w:p>
          <w:p>
            <w:pPr>
              <w:pStyle w:val="6"/>
              <w:spacing w:before="37" w:line="223" w:lineRule="auto"/>
              <w:ind w:left="43"/>
            </w:pPr>
            <w:r>
              <w:rPr>
                <w:spacing w:val="-2"/>
              </w:rPr>
              <w:t>品检验</w:t>
            </w:r>
          </w:p>
          <w:p>
            <w:pPr>
              <w:pStyle w:val="6"/>
              <w:spacing w:before="39" w:line="225" w:lineRule="auto"/>
              <w:ind w:left="20"/>
            </w:pPr>
            <w:r>
              <w:rPr>
                <w:spacing w:val="6"/>
              </w:rPr>
              <w:t>合格报</w:t>
            </w:r>
          </w:p>
          <w:p>
            <w:pPr>
              <w:pStyle w:val="6"/>
              <w:spacing w:before="34" w:line="212" w:lineRule="auto"/>
              <w:ind w:left="235"/>
            </w:pPr>
            <w:r>
              <w:t>告</w:t>
            </w:r>
          </w:p>
        </w:tc>
        <w:tc>
          <w:tcPr>
            <w:tcW w:w="5293" w:type="dxa"/>
            <w:vMerge w:val="restart"/>
            <w:tcBorders>
              <w:bottom w:val="nil"/>
            </w:tcBorders>
            <w:vAlign w:val="top"/>
          </w:tcPr>
          <w:p>
            <w:pPr>
              <w:spacing w:line="259" w:lineRule="auto"/>
              <w:rPr>
                <w:rFonts w:ascii="Arial"/>
                <w:sz w:val="21"/>
              </w:rPr>
            </w:pPr>
          </w:p>
          <w:p>
            <w:pPr>
              <w:pStyle w:val="6"/>
              <w:spacing w:before="65" w:line="243" w:lineRule="auto"/>
              <w:ind w:left="8" w:right="3" w:firstLine="5"/>
            </w:pPr>
            <w:r>
              <w:rPr>
                <w:spacing w:val="11"/>
              </w:rPr>
              <w:t>应当提交符合产品执行的食品安全国家标准、</w:t>
            </w:r>
            <w:r>
              <w:rPr>
                <w:spacing w:val="10"/>
              </w:rPr>
              <w:t>国务院卫生</w:t>
            </w:r>
            <w:r>
              <w:t xml:space="preserve"> </w:t>
            </w:r>
            <w:r>
              <w:rPr>
                <w:spacing w:val="9"/>
              </w:rPr>
              <w:t>行政部门相关公告的试制食品用香精检验合格报告。</w:t>
            </w:r>
          </w:p>
        </w:tc>
        <w:tc>
          <w:tcPr>
            <w:tcW w:w="4633" w:type="dxa"/>
            <w:vAlign w:val="top"/>
          </w:tcPr>
          <w:p>
            <w:pPr>
              <w:pStyle w:val="6"/>
              <w:spacing w:before="77" w:line="224" w:lineRule="auto"/>
              <w:ind w:left="15"/>
            </w:pPr>
            <w:r>
              <w:rPr>
                <w:spacing w:val="6"/>
              </w:rPr>
              <w:t>符合规定要求。</w:t>
            </w:r>
          </w:p>
        </w:tc>
        <w:tc>
          <w:tcPr>
            <w:tcW w:w="615" w:type="dxa"/>
            <w:vAlign w:val="top"/>
          </w:tcPr>
          <w:p>
            <w:pPr>
              <w:spacing w:before="112" w:line="195" w:lineRule="auto"/>
              <w:ind w:left="27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4" w:type="dxa"/>
            <w:vAlign w:val="top"/>
          </w:tcPr>
          <w:p>
            <w:pPr>
              <w:rPr>
                <w:rFonts w:ascii="Arial"/>
                <w:sz w:val="21"/>
              </w:rPr>
            </w:pPr>
          </w:p>
        </w:tc>
        <w:tc>
          <w:tcPr>
            <w:tcW w:w="1834"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90" w:type="dxa"/>
            <w:vMerge w:val="continue"/>
            <w:tcBorders>
              <w:top w:val="nil"/>
              <w:bottom w:val="nil"/>
            </w:tcBorders>
            <w:vAlign w:val="top"/>
          </w:tcPr>
          <w:p>
            <w:pPr>
              <w:rPr>
                <w:rFonts w:ascii="Arial"/>
                <w:sz w:val="21"/>
              </w:rPr>
            </w:pPr>
          </w:p>
        </w:tc>
        <w:tc>
          <w:tcPr>
            <w:tcW w:w="660" w:type="dxa"/>
            <w:vMerge w:val="continue"/>
            <w:tcBorders>
              <w:top w:val="nil"/>
              <w:bottom w:val="nil"/>
            </w:tcBorders>
            <w:vAlign w:val="top"/>
          </w:tcPr>
          <w:p>
            <w:pPr>
              <w:rPr>
                <w:rFonts w:ascii="Arial"/>
                <w:sz w:val="21"/>
              </w:rPr>
            </w:pPr>
          </w:p>
        </w:tc>
        <w:tc>
          <w:tcPr>
            <w:tcW w:w="5293" w:type="dxa"/>
            <w:vMerge w:val="continue"/>
            <w:tcBorders>
              <w:top w:val="nil"/>
              <w:bottom w:val="nil"/>
            </w:tcBorders>
            <w:vAlign w:val="top"/>
          </w:tcPr>
          <w:p>
            <w:pPr>
              <w:rPr>
                <w:rFonts w:ascii="Arial"/>
                <w:sz w:val="21"/>
              </w:rPr>
            </w:pPr>
          </w:p>
        </w:tc>
        <w:tc>
          <w:tcPr>
            <w:tcW w:w="4633" w:type="dxa"/>
            <w:vAlign w:val="top"/>
          </w:tcPr>
          <w:p>
            <w:pPr>
              <w:pStyle w:val="6"/>
              <w:spacing w:before="78" w:line="223" w:lineRule="auto"/>
              <w:ind w:left="16"/>
            </w:pPr>
            <w:r>
              <w:rPr>
                <w:spacing w:val="7"/>
              </w:rPr>
              <w:t>规定的检验项目不全。</w:t>
            </w:r>
          </w:p>
        </w:tc>
        <w:tc>
          <w:tcPr>
            <w:tcW w:w="615" w:type="dxa"/>
            <w:vAlign w:val="top"/>
          </w:tcPr>
          <w:p>
            <w:pPr>
              <w:spacing w:before="113" w:line="195" w:lineRule="auto"/>
              <w:ind w:left="183"/>
              <w:rPr>
                <w:rFonts w:ascii="Times New Roman" w:hAnsi="Times New Roman" w:eastAsia="Times New Roman" w:cs="Times New Roman"/>
                <w:sz w:val="20"/>
                <w:szCs w:val="20"/>
              </w:rPr>
            </w:pPr>
            <w:r>
              <w:rPr>
                <w:rFonts w:ascii="Times New Roman" w:hAnsi="Times New Roman" w:eastAsia="Times New Roman" w:cs="Times New Roman"/>
                <w:sz w:val="20"/>
                <w:szCs w:val="20"/>
              </w:rPr>
              <w:t>0.5</w:t>
            </w:r>
          </w:p>
        </w:tc>
        <w:tc>
          <w:tcPr>
            <w:tcW w:w="1394" w:type="dxa"/>
            <w:vAlign w:val="top"/>
          </w:tcPr>
          <w:p>
            <w:pPr>
              <w:rPr>
                <w:rFonts w:ascii="Arial"/>
                <w:sz w:val="21"/>
              </w:rPr>
            </w:pPr>
          </w:p>
        </w:tc>
        <w:tc>
          <w:tcPr>
            <w:tcW w:w="183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90" w:type="dxa"/>
            <w:vMerge w:val="continue"/>
            <w:tcBorders>
              <w:top w:val="nil"/>
            </w:tcBorders>
            <w:vAlign w:val="top"/>
          </w:tcPr>
          <w:p>
            <w:pPr>
              <w:rPr>
                <w:rFonts w:ascii="Arial"/>
                <w:sz w:val="21"/>
              </w:rPr>
            </w:pPr>
          </w:p>
        </w:tc>
        <w:tc>
          <w:tcPr>
            <w:tcW w:w="660" w:type="dxa"/>
            <w:vMerge w:val="continue"/>
            <w:tcBorders>
              <w:top w:val="nil"/>
            </w:tcBorders>
            <w:vAlign w:val="top"/>
          </w:tcPr>
          <w:p>
            <w:pPr>
              <w:rPr>
                <w:rFonts w:ascii="Arial"/>
                <w:sz w:val="21"/>
              </w:rPr>
            </w:pPr>
          </w:p>
        </w:tc>
        <w:tc>
          <w:tcPr>
            <w:tcW w:w="5293" w:type="dxa"/>
            <w:vMerge w:val="continue"/>
            <w:tcBorders>
              <w:top w:val="nil"/>
            </w:tcBorders>
            <w:vAlign w:val="top"/>
          </w:tcPr>
          <w:p>
            <w:pPr>
              <w:rPr>
                <w:rFonts w:ascii="Arial"/>
                <w:sz w:val="21"/>
              </w:rPr>
            </w:pPr>
          </w:p>
        </w:tc>
        <w:tc>
          <w:tcPr>
            <w:tcW w:w="4633" w:type="dxa"/>
            <w:vAlign w:val="top"/>
          </w:tcPr>
          <w:p>
            <w:pPr>
              <w:pStyle w:val="6"/>
              <w:spacing w:before="118" w:line="223" w:lineRule="auto"/>
              <w:ind w:left="16"/>
            </w:pPr>
            <w:r>
              <w:rPr>
                <w:spacing w:val="6"/>
              </w:rPr>
              <w:t>无检验合格报告。</w:t>
            </w:r>
          </w:p>
        </w:tc>
        <w:tc>
          <w:tcPr>
            <w:tcW w:w="615" w:type="dxa"/>
            <w:vAlign w:val="top"/>
          </w:tcPr>
          <w:p>
            <w:pPr>
              <w:spacing w:before="153"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94" w:type="dxa"/>
            <w:vAlign w:val="top"/>
          </w:tcPr>
          <w:p>
            <w:pPr>
              <w:rPr>
                <w:rFonts w:ascii="Arial"/>
                <w:sz w:val="21"/>
              </w:rPr>
            </w:pPr>
          </w:p>
        </w:tc>
        <w:tc>
          <w:tcPr>
            <w:tcW w:w="1834" w:type="dxa"/>
            <w:vMerge w:val="continue"/>
            <w:tcBorders>
              <w:top w:val="nil"/>
            </w:tcBorders>
            <w:vAlign w:val="top"/>
          </w:tcPr>
          <w:p>
            <w:pPr>
              <w:rPr>
                <w:rFonts w:ascii="Arial"/>
                <w:sz w:val="21"/>
              </w:rPr>
            </w:pPr>
          </w:p>
        </w:tc>
      </w:tr>
    </w:tbl>
    <w:p>
      <w:pPr>
        <w:rPr>
          <w:rFonts w:ascii="Arial"/>
          <w:sz w:val="21"/>
        </w:rPr>
      </w:pPr>
    </w:p>
    <w:sectPr>
      <w:footerReference r:id="rId85" w:type="default"/>
      <w:pgSz w:w="16839" w:h="11906"/>
      <w:pgMar w:top="1012" w:right="769" w:bottom="1168" w:left="1044"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8"/>
      <w:rPr>
        <w:rFonts w:ascii="Arial" w:hAnsi="Arial" w:eastAsia="Arial" w:cs="Arial"/>
        <w:sz w:val="18"/>
        <w:szCs w:val="18"/>
      </w:rPr>
    </w:pPr>
    <w:r>
      <w:rPr>
        <w:rFonts w:ascii="Arial" w:hAnsi="Arial" w:eastAsia="Arial" w:cs="Arial"/>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9"/>
      <w:rPr>
        <w:rFonts w:ascii="Arial" w:hAnsi="Arial" w:eastAsia="Arial" w:cs="Arial"/>
        <w:sz w:val="18"/>
        <w:szCs w:val="18"/>
      </w:rPr>
    </w:pPr>
    <w:r>
      <w:rPr>
        <w:rFonts w:ascii="Arial" w:hAnsi="Arial" w:eastAsia="Arial" w:cs="Arial"/>
        <w:spacing w:val="3"/>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17"/>
      <w:rPr>
        <w:rFonts w:ascii="Arial" w:hAnsi="Arial" w:eastAsia="Arial" w:cs="Arial"/>
        <w:sz w:val="18"/>
        <w:szCs w:val="18"/>
      </w:rPr>
    </w:pPr>
    <w:r>
      <w:rPr>
        <w:rFonts w:ascii="Arial" w:hAnsi="Arial" w:eastAsia="Arial" w:cs="Arial"/>
        <w:spacing w:val="3"/>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7"/>
      <w:rPr>
        <w:rFonts w:ascii="Arial" w:hAnsi="Arial" w:eastAsia="Arial" w:cs="Arial"/>
        <w:sz w:val="18"/>
        <w:szCs w:val="18"/>
      </w:rPr>
    </w:pPr>
    <w:r>
      <w:rPr>
        <w:rFonts w:ascii="Arial" w:hAnsi="Arial" w:eastAsia="Arial" w:cs="Arial"/>
        <w:spacing w:val="3"/>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4"/>
      <w:rPr>
        <w:rFonts w:ascii="Arial" w:hAnsi="Arial" w:eastAsia="Arial" w:cs="Arial"/>
        <w:sz w:val="18"/>
        <w:szCs w:val="18"/>
      </w:rPr>
    </w:pPr>
    <w:r>
      <w:rPr>
        <w:rFonts w:ascii="Arial" w:hAnsi="Arial" w:eastAsia="Arial" w:cs="Arial"/>
        <w:spacing w:val="3"/>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15"/>
      <w:rPr>
        <w:rFonts w:ascii="Arial" w:hAnsi="Arial" w:eastAsia="Arial" w:cs="Arial"/>
        <w:sz w:val="18"/>
        <w:szCs w:val="18"/>
      </w:rPr>
    </w:pPr>
    <w:r>
      <w:rPr>
        <w:rFonts w:ascii="Arial" w:hAnsi="Arial" w:eastAsia="Arial" w:cs="Arial"/>
        <w:spacing w:val="3"/>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18"/>
      <w:rPr>
        <w:rFonts w:ascii="Arial" w:hAnsi="Arial" w:eastAsia="Arial" w:cs="Arial"/>
        <w:sz w:val="18"/>
        <w:szCs w:val="18"/>
      </w:rPr>
    </w:pPr>
    <w:r>
      <w:rPr>
        <w:rFonts w:ascii="Arial" w:hAnsi="Arial" w:eastAsia="Arial" w:cs="Arial"/>
        <w:spacing w:val="3"/>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2"/>
      <w:rPr>
        <w:rFonts w:ascii="Arial" w:hAnsi="Arial" w:eastAsia="Arial" w:cs="Arial"/>
        <w:sz w:val="18"/>
        <w:szCs w:val="18"/>
      </w:rPr>
    </w:pPr>
    <w:r>
      <w:rPr>
        <w:rFonts w:ascii="Arial" w:hAnsi="Arial" w:eastAsia="Arial" w:cs="Arial"/>
        <w:spacing w:val="3"/>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15"/>
      <w:rPr>
        <w:rFonts w:ascii="Arial" w:hAnsi="Arial" w:eastAsia="Arial" w:cs="Arial"/>
        <w:sz w:val="18"/>
        <w:szCs w:val="18"/>
      </w:rPr>
    </w:pPr>
    <w:r>
      <w:rPr>
        <w:rFonts w:ascii="Arial" w:hAnsi="Arial" w:eastAsia="Arial" w:cs="Arial"/>
        <w:spacing w:val="3"/>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5"/>
      <w:rPr>
        <w:rFonts w:ascii="Arial" w:hAnsi="Arial" w:eastAsia="Arial" w:cs="Arial"/>
        <w:sz w:val="18"/>
        <w:szCs w:val="18"/>
      </w:rPr>
    </w:pPr>
    <w:r>
      <w:rPr>
        <w:rFonts w:ascii="Arial" w:hAnsi="Arial" w:eastAsia="Arial" w:cs="Arial"/>
        <w:spacing w:val="3"/>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5"/>
      <w:rPr>
        <w:rFonts w:ascii="Arial" w:hAnsi="Arial" w:eastAsia="Arial" w:cs="Arial"/>
        <w:sz w:val="18"/>
        <w:szCs w:val="18"/>
      </w:rPr>
    </w:pPr>
    <w:r>
      <w:rPr>
        <w:rFonts w:ascii="Arial" w:hAnsi="Arial" w:eastAsia="Arial" w:cs="Arial"/>
        <w:spacing w:val="3"/>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71"/>
      <w:rPr>
        <w:rFonts w:ascii="Arial" w:hAnsi="Arial" w:eastAsia="Arial" w:cs="Arial"/>
        <w:sz w:val="18"/>
        <w:szCs w:val="18"/>
      </w:rPr>
    </w:pPr>
    <w:r>
      <w:rPr>
        <w:rFonts w:ascii="Arial" w:hAnsi="Arial" w:eastAsia="Arial" w:cs="Arial"/>
        <w:spacing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5"/>
      <w:rPr>
        <w:rFonts w:ascii="Arial" w:hAnsi="Arial" w:eastAsia="Arial" w:cs="Arial"/>
        <w:sz w:val="18"/>
        <w:szCs w:val="18"/>
      </w:rPr>
    </w:pPr>
    <w:r>
      <w:rPr>
        <w:rFonts w:ascii="Arial" w:hAnsi="Arial" w:eastAsia="Arial" w:cs="Arial"/>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3"/>
      <w:rPr>
        <w:rFonts w:ascii="Arial" w:hAnsi="Arial" w:eastAsia="Arial" w:cs="Arial"/>
        <w:sz w:val="18"/>
        <w:szCs w:val="18"/>
      </w:rPr>
    </w:pPr>
    <w:r>
      <w:rPr>
        <w:rFonts w:ascii="Arial" w:hAnsi="Arial" w:eastAsia="Arial" w:cs="Arial"/>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09"/>
      <w:rPr>
        <w:rFonts w:ascii="Arial" w:hAnsi="Arial" w:eastAsia="Arial" w:cs="Arial"/>
        <w:sz w:val="18"/>
        <w:szCs w:val="18"/>
      </w:rPr>
    </w:pPr>
    <w:r>
      <w:rPr>
        <w:rFonts w:ascii="Arial" w:hAnsi="Arial" w:eastAsia="Arial" w:cs="Arial"/>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09"/>
      <w:rPr>
        <w:rFonts w:ascii="Arial" w:hAnsi="Arial" w:eastAsia="Arial" w:cs="Arial"/>
        <w:sz w:val="18"/>
        <w:szCs w:val="18"/>
      </w:rPr>
    </w:pPr>
    <w:r>
      <w:rPr>
        <w:rFonts w:ascii="Arial" w:hAnsi="Arial" w:eastAsia="Arial" w:cs="Arial"/>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06"/>
      <w:rPr>
        <w:rFonts w:ascii="Arial" w:hAnsi="Arial" w:eastAsia="Arial" w:cs="Arial"/>
        <w:sz w:val="18"/>
        <w:szCs w:val="18"/>
      </w:rPr>
    </w:pPr>
    <w:r>
      <w:rPr>
        <w:rFonts w:ascii="Arial" w:hAnsi="Arial" w:eastAsia="Arial" w:cs="Arial"/>
        <w:spacing w:val="6"/>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3"/>
      <w:rPr>
        <w:rFonts w:ascii="Arial" w:hAnsi="Arial" w:eastAsia="Arial" w:cs="Arial"/>
        <w:sz w:val="18"/>
        <w:szCs w:val="18"/>
      </w:rPr>
    </w:pPr>
    <w:r>
      <w:rPr>
        <w:rFonts w:ascii="Arial" w:hAnsi="Arial" w:eastAsia="Arial" w:cs="Arial"/>
        <w:spacing w:val="6"/>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3"/>
      <w:rPr>
        <w:rFonts w:ascii="Arial" w:hAnsi="Arial" w:eastAsia="Arial" w:cs="Arial"/>
        <w:sz w:val="18"/>
        <w:szCs w:val="18"/>
      </w:rPr>
    </w:pPr>
    <w:r>
      <w:rPr>
        <w:rFonts w:ascii="Arial" w:hAnsi="Arial" w:eastAsia="Arial" w:cs="Arial"/>
        <w:spacing w:val="6"/>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09"/>
      <w:rPr>
        <w:rFonts w:ascii="Arial" w:hAnsi="Arial" w:eastAsia="Arial" w:cs="Arial"/>
        <w:sz w:val="18"/>
        <w:szCs w:val="18"/>
      </w:rPr>
    </w:pPr>
    <w:r>
      <w:rPr>
        <w:rFonts w:ascii="Arial" w:hAnsi="Arial" w:eastAsia="Arial" w:cs="Arial"/>
        <w:spacing w:val="6"/>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1"/>
      <w:rPr>
        <w:rFonts w:ascii="Arial" w:hAnsi="Arial" w:eastAsia="Arial" w:cs="Arial"/>
        <w:sz w:val="18"/>
        <w:szCs w:val="18"/>
      </w:rPr>
    </w:pPr>
    <w:r>
      <w:rPr>
        <w:rFonts w:ascii="Arial" w:hAnsi="Arial" w:eastAsia="Arial" w:cs="Arial"/>
        <w:spacing w:val="6"/>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13"/>
      <w:rPr>
        <w:rFonts w:ascii="Arial" w:hAnsi="Arial" w:eastAsia="Arial" w:cs="Arial"/>
        <w:sz w:val="18"/>
        <w:szCs w:val="18"/>
      </w:rPr>
    </w:pPr>
    <w:r>
      <w:rPr>
        <w:rFonts w:ascii="Arial" w:hAnsi="Arial" w:eastAsia="Arial" w:cs="Arial"/>
        <w:spacing w:val="6"/>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64"/>
      <w:rPr>
        <w:rFonts w:ascii="Arial" w:hAnsi="Arial" w:eastAsia="Arial" w:cs="Arial"/>
        <w:sz w:val="18"/>
        <w:szCs w:val="18"/>
      </w:rPr>
    </w:pPr>
    <w:r>
      <w:rPr>
        <w:rFonts w:ascii="Arial" w:hAnsi="Arial" w:eastAsia="Arial" w:cs="Arial"/>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182"/>
      <w:rPr>
        <w:rFonts w:ascii="Arial" w:hAnsi="Arial" w:eastAsia="Arial" w:cs="Arial"/>
        <w:sz w:val="18"/>
        <w:szCs w:val="18"/>
      </w:rPr>
    </w:pPr>
    <w:r>
      <w:rPr>
        <w:rFonts w:ascii="Arial" w:hAnsi="Arial" w:eastAsia="Arial" w:cs="Arial"/>
        <w:spacing w:val="6"/>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357"/>
      <w:rPr>
        <w:rFonts w:ascii="Arial" w:hAnsi="Arial" w:eastAsia="Arial" w:cs="Arial"/>
        <w:sz w:val="18"/>
        <w:szCs w:val="18"/>
      </w:rPr>
    </w:pPr>
    <w:r>
      <w:rPr>
        <w:rFonts w:ascii="Arial" w:hAnsi="Arial" w:eastAsia="Arial" w:cs="Arial"/>
        <w:spacing w:val="6"/>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095"/>
      <w:rPr>
        <w:rFonts w:ascii="Arial" w:hAnsi="Arial" w:eastAsia="Arial" w:cs="Arial"/>
        <w:sz w:val="18"/>
        <w:szCs w:val="18"/>
      </w:rPr>
    </w:pPr>
    <w:r>
      <w:rPr>
        <w:rFonts w:ascii="Arial" w:hAnsi="Arial" w:eastAsia="Arial" w:cs="Arial"/>
        <w:spacing w:val="6"/>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371"/>
      <w:rPr>
        <w:rFonts w:ascii="Arial" w:hAnsi="Arial" w:eastAsia="Arial" w:cs="Arial"/>
        <w:sz w:val="18"/>
        <w:szCs w:val="18"/>
      </w:rPr>
    </w:pPr>
    <w:r>
      <w:rPr>
        <w:rFonts w:ascii="Arial" w:hAnsi="Arial" w:eastAsia="Arial" w:cs="Arial"/>
        <w:spacing w:val="6"/>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1"/>
      <w:rPr>
        <w:rFonts w:ascii="Arial" w:hAnsi="Arial" w:eastAsia="Arial" w:cs="Arial"/>
        <w:sz w:val="18"/>
        <w:szCs w:val="18"/>
      </w:rPr>
    </w:pPr>
    <w:r>
      <w:rPr>
        <w:rFonts w:ascii="Arial" w:hAnsi="Arial" w:eastAsia="Arial" w:cs="Arial"/>
        <w:spacing w:val="6"/>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1"/>
      <w:rPr>
        <w:rFonts w:ascii="Arial" w:hAnsi="Arial" w:eastAsia="Arial" w:cs="Arial"/>
        <w:sz w:val="18"/>
        <w:szCs w:val="18"/>
      </w:rPr>
    </w:pPr>
    <w:r>
      <w:rPr>
        <w:rFonts w:ascii="Arial" w:hAnsi="Arial" w:eastAsia="Arial" w:cs="Arial"/>
        <w:spacing w:val="6"/>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1"/>
      <w:rPr>
        <w:rFonts w:ascii="Arial" w:hAnsi="Arial" w:eastAsia="Arial" w:cs="Arial"/>
        <w:sz w:val="18"/>
        <w:szCs w:val="18"/>
      </w:rPr>
    </w:pPr>
    <w:r>
      <w:rPr>
        <w:rFonts w:ascii="Arial" w:hAnsi="Arial" w:eastAsia="Arial" w:cs="Arial"/>
        <w:spacing w:val="6"/>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1"/>
      <w:rPr>
        <w:rFonts w:ascii="Arial" w:hAnsi="Arial" w:eastAsia="Arial" w:cs="Arial"/>
        <w:sz w:val="18"/>
        <w:szCs w:val="18"/>
      </w:rPr>
    </w:pPr>
    <w:r>
      <w:rPr>
        <w:rFonts w:ascii="Arial" w:hAnsi="Arial" w:eastAsia="Arial" w:cs="Arial"/>
        <w:spacing w:val="6"/>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1"/>
      <w:rPr>
        <w:rFonts w:ascii="Arial" w:hAnsi="Arial" w:eastAsia="Arial" w:cs="Arial"/>
        <w:sz w:val="18"/>
        <w:szCs w:val="18"/>
      </w:rPr>
    </w:pPr>
    <w:r>
      <w:rPr>
        <w:rFonts w:ascii="Arial" w:hAnsi="Arial" w:eastAsia="Arial" w:cs="Arial"/>
        <w:spacing w:val="6"/>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1"/>
      <w:rPr>
        <w:rFonts w:ascii="Arial" w:hAnsi="Arial" w:eastAsia="Arial" w:cs="Arial"/>
        <w:sz w:val="18"/>
        <w:szCs w:val="18"/>
      </w:rPr>
    </w:pPr>
    <w:r>
      <w:rPr>
        <w:rFonts w:ascii="Arial" w:hAnsi="Arial" w:eastAsia="Arial" w:cs="Arial"/>
        <w:spacing w:val="6"/>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6"/>
      <w:rPr>
        <w:rFonts w:ascii="Arial" w:hAnsi="Arial" w:eastAsia="Arial" w:cs="Arial"/>
        <w:sz w:val="18"/>
        <w:szCs w:val="18"/>
      </w:rPr>
    </w:pPr>
    <w:r>
      <w:rPr>
        <w:rFonts w:ascii="Arial" w:hAnsi="Arial" w:eastAsia="Arial" w:cs="Arial"/>
        <w:spacing w:val="5"/>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492"/>
      <w:rPr>
        <w:rFonts w:ascii="Arial" w:hAnsi="Arial" w:eastAsia="Arial" w:cs="Arial"/>
        <w:sz w:val="18"/>
        <w:szCs w:val="18"/>
      </w:rPr>
    </w:pPr>
    <w:r>
      <w:rPr>
        <w:rFonts w:ascii="Arial" w:hAnsi="Arial" w:eastAsia="Arial" w:cs="Arial"/>
        <w:spacing w:val="9"/>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20"/>
      <w:rPr>
        <w:rFonts w:ascii="Arial" w:hAnsi="Arial" w:eastAsia="Arial" w:cs="Arial"/>
        <w:sz w:val="18"/>
        <w:szCs w:val="18"/>
      </w:rPr>
    </w:pPr>
    <w:r>
      <w:rPr>
        <w:rFonts w:ascii="Arial" w:hAnsi="Arial" w:eastAsia="Arial" w:cs="Arial"/>
        <w:spacing w:val="9"/>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535"/>
      <w:rPr>
        <w:rFonts w:ascii="Arial" w:hAnsi="Arial" w:eastAsia="Arial" w:cs="Arial"/>
        <w:sz w:val="18"/>
        <w:szCs w:val="18"/>
      </w:rPr>
    </w:pPr>
    <w:r>
      <w:rPr>
        <w:rFonts w:ascii="Arial" w:hAnsi="Arial" w:eastAsia="Arial" w:cs="Arial"/>
        <w:spacing w:val="9"/>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535"/>
      <w:rPr>
        <w:rFonts w:ascii="Arial" w:hAnsi="Arial" w:eastAsia="Arial" w:cs="Arial"/>
        <w:sz w:val="18"/>
        <w:szCs w:val="18"/>
      </w:rPr>
    </w:pPr>
    <w:r>
      <w:rPr>
        <w:rFonts w:ascii="Arial" w:hAnsi="Arial" w:eastAsia="Arial" w:cs="Arial"/>
        <w:spacing w:val="9"/>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35"/>
      <w:rPr>
        <w:rFonts w:ascii="Arial" w:hAnsi="Arial" w:eastAsia="Arial" w:cs="Arial"/>
        <w:sz w:val="18"/>
        <w:szCs w:val="18"/>
      </w:rPr>
    </w:pPr>
    <w:r>
      <w:rPr>
        <w:rFonts w:ascii="Arial" w:hAnsi="Arial" w:eastAsia="Arial" w:cs="Arial"/>
        <w:spacing w:val="9"/>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35"/>
      <w:rPr>
        <w:rFonts w:ascii="Arial" w:hAnsi="Arial" w:eastAsia="Arial" w:cs="Arial"/>
        <w:sz w:val="18"/>
        <w:szCs w:val="18"/>
      </w:rPr>
    </w:pPr>
    <w:r>
      <w:rPr>
        <w:rFonts w:ascii="Arial" w:hAnsi="Arial" w:eastAsia="Arial" w:cs="Arial"/>
        <w:spacing w:val="9"/>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559"/>
      <w:rPr>
        <w:rFonts w:ascii="Arial" w:hAnsi="Arial" w:eastAsia="Arial" w:cs="Arial"/>
        <w:sz w:val="18"/>
        <w:szCs w:val="18"/>
      </w:rPr>
    </w:pPr>
    <w:r>
      <w:rPr>
        <w:rFonts w:ascii="Arial" w:hAnsi="Arial" w:eastAsia="Arial" w:cs="Arial"/>
        <w:spacing w:val="9"/>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343"/>
      <w:rPr>
        <w:rFonts w:ascii="Arial" w:hAnsi="Arial" w:eastAsia="Arial" w:cs="Arial"/>
        <w:sz w:val="18"/>
        <w:szCs w:val="18"/>
      </w:rPr>
    </w:pPr>
    <w:r>
      <w:rPr>
        <w:rFonts w:ascii="Arial" w:hAnsi="Arial" w:eastAsia="Arial" w:cs="Arial"/>
        <w:spacing w:val="9"/>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090"/>
      <w:rPr>
        <w:rFonts w:ascii="Arial" w:hAnsi="Arial" w:eastAsia="Arial" w:cs="Arial"/>
        <w:sz w:val="18"/>
        <w:szCs w:val="18"/>
      </w:rPr>
    </w:pPr>
    <w:r>
      <w:rPr>
        <w:rFonts w:ascii="Arial" w:hAnsi="Arial" w:eastAsia="Arial" w:cs="Arial"/>
        <w:spacing w:val="9"/>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366"/>
      <w:rPr>
        <w:rFonts w:ascii="Arial" w:hAnsi="Arial" w:eastAsia="Arial" w:cs="Arial"/>
        <w:sz w:val="18"/>
        <w:szCs w:val="18"/>
      </w:rPr>
    </w:pPr>
    <w:r>
      <w:rPr>
        <w:rFonts w:ascii="Arial" w:hAnsi="Arial" w:eastAsia="Arial" w:cs="Arial"/>
        <w:spacing w:val="9"/>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71"/>
      <w:rPr>
        <w:rFonts w:ascii="Arial" w:hAnsi="Arial" w:eastAsia="Arial" w:cs="Arial"/>
        <w:sz w:val="18"/>
        <w:szCs w:val="18"/>
      </w:rPr>
    </w:pPr>
    <w:r>
      <w:rPr>
        <w:rFonts w:ascii="Arial" w:hAnsi="Arial" w:eastAsia="Arial" w:cs="Arial"/>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80"/>
      <w:rPr>
        <w:rFonts w:ascii="Arial" w:hAnsi="Arial" w:eastAsia="Arial" w:cs="Arial"/>
        <w:sz w:val="18"/>
        <w:szCs w:val="18"/>
      </w:rPr>
    </w:pPr>
    <w:r>
      <w:rPr>
        <w:rFonts w:ascii="Arial" w:hAnsi="Arial" w:eastAsia="Arial" w:cs="Arial"/>
        <w:spacing w:val="6"/>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780"/>
      <w:rPr>
        <w:rFonts w:ascii="Arial" w:hAnsi="Arial" w:eastAsia="Arial" w:cs="Arial"/>
        <w:sz w:val="18"/>
        <w:szCs w:val="18"/>
      </w:rPr>
    </w:pPr>
    <w:r>
      <w:rPr>
        <w:rFonts w:ascii="Arial" w:hAnsi="Arial" w:eastAsia="Arial" w:cs="Arial"/>
        <w:spacing w:val="6"/>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80"/>
      <w:rPr>
        <w:rFonts w:ascii="Arial" w:hAnsi="Arial" w:eastAsia="Arial" w:cs="Arial"/>
        <w:sz w:val="18"/>
        <w:szCs w:val="18"/>
      </w:rPr>
    </w:pPr>
    <w:r>
      <w:rPr>
        <w:rFonts w:ascii="Arial" w:hAnsi="Arial" w:eastAsia="Arial" w:cs="Arial"/>
        <w:spacing w:val="6"/>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80"/>
      <w:rPr>
        <w:rFonts w:ascii="Arial" w:hAnsi="Arial" w:eastAsia="Arial" w:cs="Arial"/>
        <w:sz w:val="18"/>
        <w:szCs w:val="18"/>
      </w:rPr>
    </w:pPr>
    <w:r>
      <w:rPr>
        <w:rFonts w:ascii="Arial" w:hAnsi="Arial" w:eastAsia="Arial" w:cs="Arial"/>
        <w:spacing w:val="6"/>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780"/>
      <w:rPr>
        <w:rFonts w:ascii="Arial" w:hAnsi="Arial" w:eastAsia="Arial" w:cs="Arial"/>
        <w:sz w:val="18"/>
        <w:szCs w:val="18"/>
      </w:rPr>
    </w:pPr>
    <w:r>
      <w:rPr>
        <w:rFonts w:ascii="Arial" w:hAnsi="Arial" w:eastAsia="Arial" w:cs="Arial"/>
        <w:spacing w:val="6"/>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780"/>
      <w:rPr>
        <w:rFonts w:ascii="Arial" w:hAnsi="Arial" w:eastAsia="Arial" w:cs="Arial"/>
        <w:sz w:val="18"/>
        <w:szCs w:val="18"/>
      </w:rPr>
    </w:pPr>
    <w:r>
      <w:rPr>
        <w:rFonts w:ascii="Arial" w:hAnsi="Arial" w:eastAsia="Arial" w:cs="Arial"/>
        <w:spacing w:val="6"/>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80"/>
      <w:rPr>
        <w:rFonts w:ascii="Arial" w:hAnsi="Arial" w:eastAsia="Arial" w:cs="Arial"/>
        <w:sz w:val="18"/>
        <w:szCs w:val="18"/>
      </w:rPr>
    </w:pPr>
    <w:r>
      <w:rPr>
        <w:rFonts w:ascii="Arial" w:hAnsi="Arial" w:eastAsia="Arial" w:cs="Arial"/>
        <w:spacing w:val="6"/>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720"/>
      <w:rPr>
        <w:rFonts w:ascii="Arial" w:hAnsi="Arial" w:eastAsia="Arial" w:cs="Arial"/>
        <w:sz w:val="18"/>
        <w:szCs w:val="18"/>
      </w:rPr>
    </w:pPr>
    <w:r>
      <w:rPr>
        <w:rFonts w:ascii="Arial" w:hAnsi="Arial" w:eastAsia="Arial" w:cs="Arial"/>
        <w:spacing w:val="6"/>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80"/>
      <w:rPr>
        <w:rFonts w:ascii="Arial" w:hAnsi="Arial" w:eastAsia="Arial" w:cs="Arial"/>
        <w:sz w:val="18"/>
        <w:szCs w:val="18"/>
      </w:rPr>
    </w:pPr>
    <w:r>
      <w:rPr>
        <w:rFonts w:ascii="Arial" w:hAnsi="Arial" w:eastAsia="Arial" w:cs="Arial"/>
        <w:spacing w:val="6"/>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80"/>
      <w:rPr>
        <w:rFonts w:ascii="Arial" w:hAnsi="Arial" w:eastAsia="Arial" w:cs="Arial"/>
        <w:sz w:val="18"/>
        <w:szCs w:val="18"/>
      </w:rPr>
    </w:pPr>
    <w:r>
      <w:rPr>
        <w:rFonts w:ascii="Arial" w:hAnsi="Arial" w:eastAsia="Arial" w:cs="Arial"/>
        <w:spacing w:val="6"/>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62"/>
      <w:rPr>
        <w:rFonts w:ascii="Arial" w:hAnsi="Arial" w:eastAsia="Arial" w:cs="Arial"/>
        <w:sz w:val="18"/>
        <w:szCs w:val="18"/>
      </w:rPr>
    </w:pPr>
    <w:r>
      <w:rPr>
        <w:rFonts w:ascii="Arial" w:hAnsi="Arial" w:eastAsia="Arial" w:cs="Arial"/>
        <w:spacing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79"/>
      <w:rPr>
        <w:rFonts w:ascii="Arial" w:hAnsi="Arial" w:eastAsia="Arial" w:cs="Arial"/>
        <w:sz w:val="18"/>
        <w:szCs w:val="18"/>
      </w:rPr>
    </w:pPr>
    <w:r>
      <w:rPr>
        <w:rFonts w:ascii="Arial" w:hAnsi="Arial" w:eastAsia="Arial" w:cs="Arial"/>
        <w:spacing w:val="7"/>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79"/>
      <w:rPr>
        <w:rFonts w:ascii="Arial" w:hAnsi="Arial" w:eastAsia="Arial" w:cs="Arial"/>
        <w:sz w:val="18"/>
        <w:szCs w:val="18"/>
      </w:rPr>
    </w:pPr>
    <w:r>
      <w:rPr>
        <w:rFonts w:ascii="Arial" w:hAnsi="Arial" w:eastAsia="Arial" w:cs="Arial"/>
        <w:spacing w:val="7"/>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79"/>
      <w:rPr>
        <w:rFonts w:ascii="Arial" w:hAnsi="Arial" w:eastAsia="Arial" w:cs="Arial"/>
        <w:sz w:val="18"/>
        <w:szCs w:val="18"/>
      </w:rPr>
    </w:pPr>
    <w:r>
      <w:rPr>
        <w:rFonts w:ascii="Arial" w:hAnsi="Arial" w:eastAsia="Arial" w:cs="Arial"/>
        <w:spacing w:val="7"/>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779"/>
      <w:rPr>
        <w:rFonts w:ascii="Arial" w:hAnsi="Arial" w:eastAsia="Arial" w:cs="Arial"/>
        <w:sz w:val="18"/>
        <w:szCs w:val="18"/>
      </w:rPr>
    </w:pPr>
    <w:r>
      <w:rPr>
        <w:rFonts w:ascii="Arial" w:hAnsi="Arial" w:eastAsia="Arial" w:cs="Arial"/>
        <w:spacing w:val="7"/>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347"/>
      <w:rPr>
        <w:rFonts w:ascii="Arial" w:hAnsi="Arial" w:eastAsia="Arial" w:cs="Arial"/>
        <w:sz w:val="18"/>
        <w:szCs w:val="18"/>
      </w:rPr>
    </w:pPr>
    <w:r>
      <w:rPr>
        <w:rFonts w:ascii="Arial" w:hAnsi="Arial" w:eastAsia="Arial" w:cs="Arial"/>
        <w:spacing w:val="7"/>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094"/>
      <w:rPr>
        <w:rFonts w:ascii="Arial" w:hAnsi="Arial" w:eastAsia="Arial" w:cs="Arial"/>
        <w:sz w:val="18"/>
        <w:szCs w:val="18"/>
      </w:rPr>
    </w:pPr>
    <w:r>
      <w:rPr>
        <w:rFonts w:ascii="Arial" w:hAnsi="Arial" w:eastAsia="Arial" w:cs="Arial"/>
        <w:spacing w:val="7"/>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6863"/>
      <w:rPr>
        <w:rFonts w:ascii="Arial" w:hAnsi="Arial" w:eastAsia="Arial" w:cs="Arial"/>
        <w:sz w:val="18"/>
        <w:szCs w:val="18"/>
      </w:rPr>
    </w:pPr>
    <w:r>
      <w:rPr>
        <w:rFonts w:ascii="Arial" w:hAnsi="Arial" w:eastAsia="Arial" w:cs="Arial"/>
        <w:spacing w:val="7"/>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349"/>
      <w:rPr>
        <w:rFonts w:ascii="Arial" w:hAnsi="Arial" w:eastAsia="Arial" w:cs="Arial"/>
        <w:sz w:val="18"/>
        <w:szCs w:val="18"/>
      </w:rPr>
    </w:pPr>
    <w:r>
      <w:rPr>
        <w:rFonts w:ascii="Arial" w:hAnsi="Arial" w:eastAsia="Arial" w:cs="Arial"/>
        <w:spacing w:val="7"/>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349"/>
      <w:rPr>
        <w:rFonts w:ascii="Arial" w:hAnsi="Arial" w:eastAsia="Arial" w:cs="Arial"/>
        <w:sz w:val="18"/>
        <w:szCs w:val="18"/>
      </w:rPr>
    </w:pPr>
    <w:r>
      <w:rPr>
        <w:rFonts w:ascii="Arial" w:hAnsi="Arial" w:eastAsia="Arial" w:cs="Arial"/>
        <w:spacing w:val="7"/>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349"/>
      <w:rPr>
        <w:rFonts w:ascii="Arial" w:hAnsi="Arial" w:eastAsia="Arial" w:cs="Arial"/>
        <w:sz w:val="18"/>
        <w:szCs w:val="18"/>
      </w:rPr>
    </w:pPr>
    <w:r>
      <w:rPr>
        <w:rFonts w:ascii="Arial" w:hAnsi="Arial" w:eastAsia="Arial" w:cs="Arial"/>
        <w:spacing w:val="7"/>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4"/>
      <w:rPr>
        <w:rFonts w:ascii="Arial" w:hAnsi="Arial" w:eastAsia="Arial" w:cs="Arial"/>
        <w:sz w:val="18"/>
        <w:szCs w:val="18"/>
      </w:rPr>
    </w:pPr>
    <w:r>
      <w:rPr>
        <w:rFonts w:ascii="Arial" w:hAnsi="Arial" w:eastAsia="Arial" w:cs="Arial"/>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351"/>
      <w:rPr>
        <w:rFonts w:ascii="Arial" w:hAnsi="Arial" w:eastAsia="Arial" w:cs="Arial"/>
        <w:sz w:val="18"/>
        <w:szCs w:val="18"/>
      </w:rPr>
    </w:pPr>
    <w:r>
      <w:rPr>
        <w:rFonts w:ascii="Arial" w:hAnsi="Arial" w:eastAsia="Arial" w:cs="Arial"/>
        <w:spacing w:val="6"/>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7280"/>
      <w:rPr>
        <w:rFonts w:ascii="Arial" w:hAnsi="Arial" w:eastAsia="Arial" w:cs="Arial"/>
        <w:sz w:val="18"/>
        <w:szCs w:val="18"/>
      </w:rPr>
    </w:pPr>
    <w:r>
      <w:rPr>
        <w:rFonts w:ascii="Arial" w:hAnsi="Arial" w:eastAsia="Arial" w:cs="Arial"/>
        <w:spacing w:val="6"/>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80"/>
      <w:rPr>
        <w:rFonts w:ascii="Arial" w:hAnsi="Arial" w:eastAsia="Arial" w:cs="Arial"/>
        <w:sz w:val="18"/>
        <w:szCs w:val="18"/>
      </w:rPr>
    </w:pPr>
    <w:r>
      <w:rPr>
        <w:rFonts w:ascii="Arial" w:hAnsi="Arial" w:eastAsia="Arial" w:cs="Arial"/>
        <w:spacing w:val="6"/>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80"/>
      <w:rPr>
        <w:rFonts w:ascii="Arial" w:hAnsi="Arial" w:eastAsia="Arial" w:cs="Arial"/>
        <w:sz w:val="18"/>
        <w:szCs w:val="18"/>
      </w:rPr>
    </w:pPr>
    <w:r>
      <w:rPr>
        <w:rFonts w:ascii="Arial" w:hAnsi="Arial" w:eastAsia="Arial" w:cs="Arial"/>
        <w:spacing w:val="6"/>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7280"/>
      <w:rPr>
        <w:rFonts w:ascii="Arial" w:hAnsi="Arial" w:eastAsia="Arial" w:cs="Arial"/>
        <w:sz w:val="18"/>
        <w:szCs w:val="18"/>
      </w:rPr>
    </w:pPr>
    <w:r>
      <w:rPr>
        <w:rFonts w:ascii="Arial" w:hAnsi="Arial" w:eastAsia="Arial" w:cs="Arial"/>
        <w:spacing w:val="6"/>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7280"/>
      <w:rPr>
        <w:rFonts w:ascii="Arial" w:hAnsi="Arial" w:eastAsia="Arial" w:cs="Arial"/>
        <w:sz w:val="18"/>
        <w:szCs w:val="18"/>
      </w:rPr>
    </w:pPr>
    <w:r>
      <w:rPr>
        <w:rFonts w:ascii="Arial" w:hAnsi="Arial" w:eastAsia="Arial" w:cs="Arial"/>
        <w:spacing w:val="6"/>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80"/>
      <w:rPr>
        <w:rFonts w:ascii="Arial" w:hAnsi="Arial" w:eastAsia="Arial" w:cs="Arial"/>
        <w:sz w:val="18"/>
        <w:szCs w:val="18"/>
      </w:rPr>
    </w:pPr>
    <w:r>
      <w:rPr>
        <w:rFonts w:ascii="Arial" w:hAnsi="Arial" w:eastAsia="Arial" w:cs="Arial"/>
        <w:spacing w:val="6"/>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7280"/>
      <w:rPr>
        <w:rFonts w:ascii="Arial" w:hAnsi="Arial" w:eastAsia="Arial" w:cs="Arial"/>
        <w:sz w:val="18"/>
        <w:szCs w:val="18"/>
      </w:rPr>
    </w:pPr>
    <w:r>
      <w:rPr>
        <w:rFonts w:ascii="Arial" w:hAnsi="Arial" w:eastAsia="Arial" w:cs="Arial"/>
        <w:spacing w:val="6"/>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80"/>
      <w:rPr>
        <w:rFonts w:ascii="Arial" w:hAnsi="Arial" w:eastAsia="Arial" w:cs="Arial"/>
        <w:sz w:val="18"/>
        <w:szCs w:val="18"/>
      </w:rPr>
    </w:pPr>
    <w:r>
      <w:rPr>
        <w:rFonts w:ascii="Arial" w:hAnsi="Arial" w:eastAsia="Arial" w:cs="Arial"/>
        <w:spacing w:val="6"/>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80"/>
      <w:rPr>
        <w:rFonts w:ascii="Arial" w:hAnsi="Arial" w:eastAsia="Arial" w:cs="Arial"/>
        <w:sz w:val="18"/>
        <w:szCs w:val="18"/>
      </w:rPr>
    </w:pPr>
    <w:r>
      <w:rPr>
        <w:rFonts w:ascii="Arial" w:hAnsi="Arial" w:eastAsia="Arial" w:cs="Arial"/>
        <w:spacing w:val="6"/>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63"/>
      <w:rPr>
        <w:rFonts w:ascii="Arial" w:hAnsi="Arial" w:eastAsia="Arial" w:cs="Arial"/>
        <w:sz w:val="18"/>
        <w:szCs w:val="18"/>
      </w:rPr>
    </w:pPr>
    <w:r>
      <w:rPr>
        <w:rFonts w:ascii="Arial" w:hAnsi="Arial" w:eastAsia="Arial" w:cs="Arial"/>
        <w:spacing w:val="2"/>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78"/>
      <w:rPr>
        <w:rFonts w:ascii="Arial" w:hAnsi="Arial" w:eastAsia="Arial" w:cs="Arial"/>
        <w:sz w:val="18"/>
        <w:szCs w:val="18"/>
      </w:rPr>
    </w:pPr>
    <w:r>
      <w:rPr>
        <w:rFonts w:ascii="Arial" w:hAnsi="Arial" w:eastAsia="Arial" w:cs="Arial"/>
        <w:spacing w:val="7"/>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272"/>
      <w:rPr>
        <w:rFonts w:ascii="Arial" w:hAnsi="Arial" w:eastAsia="Arial" w:cs="Arial"/>
        <w:sz w:val="18"/>
        <w:szCs w:val="18"/>
      </w:rPr>
    </w:pPr>
    <w:r>
      <w:rPr>
        <w:rFonts w:ascii="Arial" w:hAnsi="Arial" w:eastAsia="Arial" w:cs="Arial"/>
        <w:spacing w:val="7"/>
        <w:sz w:val="18"/>
        <w:szCs w:val="18"/>
      </w:rPr>
      <w:t>81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65"/>
      <w:rPr>
        <w:rFonts w:ascii="Arial" w:hAnsi="Arial" w:eastAsia="Arial" w:cs="Arial"/>
        <w:sz w:val="18"/>
        <w:szCs w:val="18"/>
      </w:rPr>
    </w:pPr>
    <w:r>
      <w:rPr>
        <w:rFonts w:ascii="Arial" w:hAnsi="Arial" w:eastAsia="Arial" w:cs="Arial"/>
        <w:spacing w:val="3"/>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EzMjA3Yzg5ZjQ1NTFkMDkxYzdiYjRlODc3YzEzNGMifQ=="/>
  </w:docVars>
  <w:rsids>
    <w:rsidRoot w:val="00000000"/>
    <w:rsid w:val="2D7A22DF"/>
    <w:rsid w:val="2F313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0"/>
      <w:szCs w:val="20"/>
      <w:lang w:val="en-US" w:eastAsia="en-US" w:bidi="ar-SA"/>
    </w:rPr>
  </w:style>
  <w:style w:type="paragraph" w:customStyle="1" w:styleId="7">
    <w:name w:val="列出段落1"/>
    <w:basedOn w:val="1"/>
    <w:autoRedefine/>
    <w:qFormat/>
    <w:uiPriority w:val="34"/>
    <w:pPr>
      <w:ind w:firstLine="420" w:firstLineChars="200"/>
    </w:pPr>
    <w:rPr>
      <w:rFonts w:ascii="Times New Roman" w:hAnsi="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7" Type="http://schemas.openxmlformats.org/officeDocument/2006/relationships/fontTable" Target="fontTable.xml"/><Relationship Id="rId86" Type="http://schemas.openxmlformats.org/officeDocument/2006/relationships/theme" Target="theme/theme1.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2024-04-03T16:46:00Z</dcterms:created>
  <dc:creator>�</dc:creator>
  <cp:lastModifiedBy>夹心</cp:lastModifiedBy>
  <dcterms:modified xsi:type="dcterms:W3CDTF">2024-04-07T02:58:57Z</dcterms:modified>
  <dc:title>ʳƷӼϸ�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2024-04-07T10:51:03Z</vt:filetime>
  </property>
  <property fmtid="{D5CDD505-2E9C-101B-9397-08002B2CF9AE}" pid="4" name="KSOProductBuildVer">
    <vt:lpwstr>2052-12.1.0.16417</vt:lpwstr>
  </property>
  <property fmtid="{D5CDD505-2E9C-101B-9397-08002B2CF9AE}" pid="5" name="ICV">
    <vt:lpwstr>60BC0B27930E4C1AA1374A33438A99DE_13</vt:lpwstr>
  </property>
</Properties>
</file>